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TCGplayer Ecosystem Partnership Proposal</w:t>
      </w:r>
    </w:p>
    <w:p>
      <w:pPr>
        <w:pStyle w:val="Callout"/>
      </w:pPr>
      <w:r>
        <w:t>PROJECT PHRONESIS</w:t>
      </w:r>
    </w:p>
    <w:p>
      <w:pPr>
        <w:pStyle w:val="BodyText"/>
      </w:pPr>
      <w:r>
        <w:t>Practical Wisdom. Better Decisions.</w:t>
      </w:r>
    </w:p>
    <w:p>
      <w:pPr>
        <w:pStyle w:val="BodyText"/>
      </w:pPr>
      <w:r>
        <w:t>Prepared for TCGplayer</w:t>
      </w:r>
    </w:p>
    <w:p>
      <w:pPr>
        <w:pStyle w:val="BodyText"/>
      </w:pPr>
      <w:r>
        <w:t>July 9, 2026</w:t>
      </w:r>
    </w:p>
    <w:p>
      <w:pPr>
        <w:pStyle w:val="BodyText"/>
      </w:pPr>
      <w:r>
        <w:t>Version 1.0</w:t>
      </w:r>
    </w:p>
    <w:p>
      <w:r>
        <w:br w:type="page"/>
      </w:r>
    </w:p>
    <w:p>
      <w:pPr>
        <w:pStyle w:val="Heading1"/>
      </w:pPr>
      <w:r>
        <w:t>2. One-Sentence Vision</w:t>
      </w:r>
    </w:p>
    <w:p>
      <w:pPr>
        <w:pStyle w:val="Callout"/>
      </w:pPr>
      <w:r>
        <w:t>Confidence precedes commerce.</w:t>
      </w:r>
    </w:p>
    <w:p>
      <w:pPr>
        <w:pStyle w:val="BodyText"/>
      </w:pPr>
      <w:r>
        <w:t>Project Phronesis can strengthen the TCGplayer ecosystem by helping marketplace participants arrive with more context, more confidence, and clearer intent.</w:t>
      </w:r>
    </w:p>
    <w:p>
      <w:r>
        <w:br w:type="page"/>
      </w:r>
    </w:p>
    <w:p>
      <w:pPr>
        <w:pStyle w:val="Heading1"/>
      </w:pPr>
      <w:r>
        <w:t>3. Executive Summary</w:t>
      </w:r>
    </w:p>
    <w:p>
      <w:pPr>
        <w:pStyle w:val="Callout"/>
      </w:pPr>
      <w:r>
        <w:t>This is a partnership conversation, not an API access request.</w:t>
      </w:r>
    </w:p>
    <w:p>
      <w:pPr>
        <w:pStyle w:val="BodyText"/>
      </w:pPr>
      <w:r>
        <w:t>Project Phronesis is the internal engineering initiative responsible for developing an evidence-driven decision intelligence platform for collectible markets.</w:t>
      </w:r>
    </w:p>
    <w:p>
      <w:pPr>
        <w:pStyle w:val="BodyText"/>
      </w:pPr>
      <w:r>
        <w:t>It is the engineering identity, not necessarily the future customer-facing product name.</w:t>
      </w:r>
    </w:p>
    <w:p>
      <w:pPr>
        <w:pStyle w:val="BodyText"/>
      </w:pPr>
      <w:r>
        <w:t>The platform helps collectors, vendors, and professional operators make better decisions from available market evidence.</w:t>
      </w:r>
    </w:p>
    <w:p>
      <w:r>
        <w:br w:type="page"/>
      </w:r>
    </w:p>
    <w:p>
      <w:pPr>
        <w:pStyle w:val="Heading1"/>
      </w:pPr>
      <w:r>
        <w:t>4. Why Project Phronesis Exists</w:t>
      </w:r>
    </w:p>
    <w:p>
      <w:pPr>
        <w:pStyle w:val="Callout"/>
      </w:pPr>
      <w:r>
        <w:t>The platform is not designed merely to display market data.</w:t>
      </w:r>
    </w:p>
    <w:p>
      <w:pPr>
        <w:pStyle w:val="BodyText"/>
      </w:pPr>
      <w:r>
        <w:t>It exists to help users make better decisions.</w:t>
      </w:r>
    </w:p>
    <w:p>
      <w:pPr>
        <w:pStyle w:val="BodyText"/>
      </w:pPr>
      <w:r>
        <w:t>Practical wisdom means:</w:t>
      </w:r>
    </w:p>
    <w:p>
      <w:pPr>
        <w:pStyle w:val="BodyText"/>
      </w:pPr>
      <w:r>
        <w:t>• Evidence before conclusions.</w:t>
      </w:r>
    </w:p>
    <w:p>
      <w:pPr>
        <w:pStyle w:val="BodyText"/>
      </w:pPr>
      <w:r>
        <w:t>• Disciplined judgment before action.</w:t>
      </w:r>
    </w:p>
    <w:p>
      <w:pPr>
        <w:pStyle w:val="BodyText"/>
      </w:pPr>
      <w:r>
        <w:t>• Explainable intelligence instead of opaque claims.</w:t>
      </w:r>
    </w:p>
    <w:p>
      <w:pPr>
        <w:pStyle w:val="BodyText"/>
      </w:pPr>
      <w:r>
        <w:t>• Marketplace enablement rather than marketplace replacement.</w:t>
      </w:r>
    </w:p>
    <w:p>
      <w:r>
        <w:br w:type="page"/>
      </w:r>
    </w:p>
    <w:p>
      <w:pPr>
        <w:pStyle w:val="Heading1"/>
      </w:pPr>
      <w:r>
        <w:t>5. Why This Benefits TCGplayer</w:t>
      </w:r>
    </w:p>
    <w:p>
      <w:pPr>
        <w:pStyle w:val="Callout"/>
      </w:pPr>
      <w:r>
        <w:t>Decision support strengthens marketplaces.</w:t>
      </w:r>
    </w:p>
    <w:p>
      <w:pPr>
        <w:pStyle w:val="BodyText"/>
      </w:pPr>
      <w:r>
        <w:t>Project Phronesis can help marketplace participants become:</w:t>
      </w:r>
    </w:p>
    <w:p>
      <w:pPr>
        <w:pStyle w:val="BodyText"/>
      </w:pPr>
      <w:r>
        <w:t>• More confident before purchase.</w:t>
      </w:r>
    </w:p>
    <w:p>
      <w:pPr>
        <w:pStyle w:val="BodyText"/>
      </w:pPr>
      <w:r>
        <w:t>• More informed before restock.</w:t>
      </w:r>
    </w:p>
    <w:p>
      <w:pPr>
        <w:pStyle w:val="BodyText"/>
      </w:pPr>
      <w:r>
        <w:t>• More prepared to act.</w:t>
      </w:r>
    </w:p>
    <w:p>
      <w:pPr>
        <w:pStyle w:val="BodyText"/>
      </w:pPr>
      <w:r>
        <w:t>• More likely to reach trusted marketplaces with clear intent.</w:t>
      </w:r>
    </w:p>
    <w:p>
      <w:r>
        <w:br w:type="page"/>
      </w:r>
    </w:p>
    <w:p>
      <w:pPr>
        <w:pStyle w:val="Heading1"/>
      </w:pPr>
      <w:r>
        <w:t>6. Marketplace Flywheel</w:t>
      </w:r>
    </w:p>
    <w:p>
      <w:pPr>
        <w:pStyle w:val="Callout"/>
      </w:pPr>
      <w:r>
        <w:t>Better-informed collectors create healthier marketplaces.</w:t>
      </w:r>
    </w:p>
    <w:p>
      <w:pPr>
        <w:pStyle w:val="Diagram"/>
      </w:pPr>
      <w:r>
        <w:t>Collector / Vendor    -&gt; Project Phronesis    -&gt; Decision Intelligence    -&gt; TCGplayer    -&gt; Marketplace Participation    -&gt; Better-Informed Community</w:t>
      </w:r>
    </w:p>
    <w:p>
      <w:r>
        <w:br w:type="page"/>
      </w:r>
    </w:p>
    <w:p>
      <w:pPr>
        <w:pStyle w:val="Heading1"/>
      </w:pPr>
      <w:r>
        <w:t>7. Global Ecosystem Vision</w:t>
      </w:r>
    </w:p>
    <w:p>
      <w:pPr>
        <w:pStyle w:val="Callout"/>
      </w:pPr>
      <w:r>
        <w:t>Project Phronesis is an intelligence layer across regions.</w:t>
      </w:r>
    </w:p>
    <w:p>
      <w:pPr>
        <w:pStyle w:val="BodyText"/>
      </w:pPr>
      <w:r>
        <w:t>Regional experience matters because product availability, buying habits, shipping barriers, trust signals, and marketplace confidence differ across regions.</w:t>
      </w:r>
    </w:p>
    <w:p>
      <w:pPr>
        <w:pStyle w:val="Diagram"/>
      </w:pPr>
      <w:r>
        <w:t>North America     Brazil     Europe     Asia          \          |          |          /                Project Phronesis                        |                    TCGplayer</w:t>
      </w:r>
    </w:p>
    <w:p>
      <w:r>
        <w:br w:type="page"/>
      </w:r>
    </w:p>
    <w:p>
      <w:pPr>
        <w:pStyle w:val="Heading1"/>
      </w:pPr>
      <w:r>
        <w:t>8. Future User Journeys</w:t>
      </w:r>
    </w:p>
    <w:p>
      <w:pPr>
        <w:pStyle w:val="Callout"/>
      </w:pPr>
      <w:r>
        <w:t>Informed workflows create qualified purchase intent.</w:t>
      </w:r>
    </w:p>
    <w:p>
      <w:pPr>
        <w:pStyle w:val="BodyText"/>
      </w:pPr>
      <w:r>
        <w:t>Future workflows may include collection management, inventory management, portfolio tracking, market monitoring, purchase planning, restock planning, vendor evaluation, and marketplace-aware decision support.</w:t>
      </w:r>
    </w:p>
    <w:p>
      <w:pPr>
        <w:pStyle w:val="Diagram"/>
      </w:pPr>
      <w:r>
        <w:t>Collection    -&gt; Watchlists    -&gt; Inventory    -&gt; Decision Support    -&gt; Marketplace</w:t>
      </w:r>
    </w:p>
    <w:p>
      <w:r>
        <w:br w:type="page"/>
      </w:r>
    </w:p>
    <w:p>
      <w:pPr>
        <w:pStyle w:val="Heading1"/>
      </w:pPr>
      <w:r>
        <w:t>9. Responsible Platform Philosophy</w:t>
      </w:r>
    </w:p>
    <w:p>
      <w:pPr>
        <w:pStyle w:val="Callout"/>
      </w:pPr>
      <w:r>
        <w:t>Responsible integration means respecting partner infrastructure.</w:t>
      </w:r>
    </w:p>
    <w:p>
      <w:pPr>
        <w:pStyle w:val="BodyText"/>
      </w:pPr>
      <w:r>
        <w:t>Responsible platform principles:</w:t>
      </w:r>
    </w:p>
    <w:p>
      <w:pPr>
        <w:pStyle w:val="BodyText"/>
      </w:pPr>
      <w:r>
        <w:t>• Reuse previously generated observations where appropriate.</w:t>
      </w:r>
    </w:p>
    <w:p>
      <w:pPr>
        <w:pStyle w:val="BodyText"/>
      </w:pPr>
      <w:r>
        <w:t>• Avoid unnecessary repeated requests.</w:t>
      </w:r>
    </w:p>
    <w:p>
      <w:pPr>
        <w:pStyle w:val="BodyText"/>
      </w:pPr>
      <w:r>
        <w:t>• Request external data only when there is a workflow reason.</w:t>
      </w:r>
    </w:p>
    <w:p>
      <w:pPr>
        <w:pStyle w:val="BodyText"/>
      </w:pPr>
      <w:r>
        <w:t>• Keep information boundaries clear.</w:t>
      </w:r>
    </w:p>
    <w:p>
      <w:pPr>
        <w:pStyle w:val="BodyText"/>
      </w:pPr>
      <w:r>
        <w:t>• Respect marketplace and provider infrastructure.</w:t>
      </w:r>
    </w:p>
    <w:p>
      <w:r>
        <w:br w:type="page"/>
      </w:r>
    </w:p>
    <w:p>
      <w:pPr>
        <w:pStyle w:val="Heading1"/>
      </w:pPr>
      <w:r>
        <w:t>10. Affiliate Alignment</w:t>
      </w:r>
    </w:p>
    <w:p>
      <w:pPr>
        <w:pStyle w:val="Callout"/>
      </w:pPr>
      <w:r>
        <w:t>Affiliate participation should align incentives, not imply access or endorsement.</w:t>
      </w:r>
    </w:p>
    <w:p>
      <w:pPr>
        <w:pStyle w:val="BodyText"/>
      </w:pPr>
      <w:r>
        <w:t>If Project Phronesis helps users evaluate assets and reach purchase intent, affiliate pathways could direct qualified, purchase-ready users toward TCGplayer.</w:t>
      </w:r>
    </w:p>
    <w:p>
      <w:pPr>
        <w:pStyle w:val="BodyText"/>
      </w:pPr>
      <w:r>
        <w:t>Alignment:</w:t>
      </w:r>
    </w:p>
    <w:p>
      <w:pPr>
        <w:pStyle w:val="BodyText"/>
      </w:pPr>
      <w:r>
        <w:t>• Users receive decision support.</w:t>
      </w:r>
    </w:p>
    <w:p>
      <w:pPr>
        <w:pStyle w:val="BodyText"/>
      </w:pPr>
      <w:r>
        <w:t>• TCGplayer receives higher-intent traffic.</w:t>
      </w:r>
    </w:p>
    <w:p>
      <w:pPr>
        <w:pStyle w:val="BodyText"/>
      </w:pPr>
      <w:r>
        <w:t>• Sellers benefit from more informed buyers.</w:t>
      </w:r>
    </w:p>
    <w:p>
      <w:pPr>
        <w:pStyle w:val="BodyText"/>
      </w:pPr>
      <w:r>
        <w:t>• Project Phronesis supports marketplace activity without becoming a marketplace.</w:t>
      </w:r>
    </w:p>
    <w:p>
      <w:r>
        <w:br w:type="page"/>
      </w:r>
    </w:p>
    <w:p>
      <w:pPr>
        <w:pStyle w:val="Heading1"/>
      </w:pPr>
      <w:r>
        <w:t>11. What We Are Not</w:t>
      </w:r>
    </w:p>
    <w:p>
      <w:pPr>
        <w:pStyle w:val="Callout"/>
      </w:pPr>
      <w:r>
        <w:t>Project Phronesis is designed for decision support and marketplace enablement.</w:t>
      </w:r>
    </w:p>
    <w:p>
      <w:r>
        <w:br w:type="page"/>
      </w:r>
    </w:p>
    <w:p>
      <w:pPr>
        <w:pStyle w:val="Heading1"/>
      </w:pPr>
      <w:r>
        <w:t>12. Long-Term Partnership</w:t>
      </w:r>
    </w:p>
    <w:p>
      <w:pPr>
        <w:pStyle w:val="Callout"/>
      </w:pPr>
      <w:r>
        <w:t>A successful relationship helps users become better prepared when they reach TCGplayer.</w:t>
      </w:r>
    </w:p>
    <w:p>
      <w:pPr>
        <w:pStyle w:val="BodyText"/>
      </w:pPr>
      <w:r>
        <w:t>The long-term opportunity is healthier marketplace participation, better collector experience, stronger vendor efficiency, and clearer marketplace education.</w:t>
      </w:r>
    </w:p>
    <w:p>
      <w:pPr>
        <w:pStyle w:val="Diagram"/>
      </w:pPr>
      <w:r>
        <w:t>Better Context    -&gt; Better Decisions    -&gt; Higher-Intent Marketplace Activity    -&gt; Stronger Ecosystem Participation</w:t>
      </w:r>
    </w:p>
    <w:p>
      <w:r>
        <w:br w:type="page"/>
      </w:r>
    </w:p>
    <w:p>
      <w:pPr>
        <w:pStyle w:val="Heading1"/>
      </w:pPr>
      <w:r>
        <w:t>13. Call To Conversation</w:t>
      </w:r>
    </w:p>
    <w:p>
      <w:pPr>
        <w:pStyle w:val="Callout"/>
      </w:pPr>
      <w:r>
        <w:t>The requested next step is a discussion.</w:t>
      </w:r>
    </w:p>
    <w:p>
      <w:pPr>
        <w:pStyle w:val="BodyText"/>
      </w:pPr>
      <w:r>
        <w:t>Useful discussion topics:</w:t>
      </w:r>
    </w:p>
    <w:p>
      <w:pPr>
        <w:pStyle w:val="BodyText"/>
      </w:pPr>
      <w:r>
        <w:t>• Whether TCGplayer sees value in decision support that guides informed users toward marketplace participation.</w:t>
      </w:r>
    </w:p>
    <w:p>
      <w:pPr>
        <w:pStyle w:val="BodyText"/>
      </w:pPr>
      <w:r>
        <w:t>• Whether affiliate alignment is an appropriate early collaboration path.</w:t>
      </w:r>
    </w:p>
    <w:p>
      <w:pPr>
        <w:pStyle w:val="BodyText"/>
      </w:pPr>
      <w:r>
        <w:t>• What responsible integration expectations TCGplayer would want a future partner to follow.</w:t>
      </w:r>
    </w:p>
    <w:p>
      <w:pPr>
        <w:pStyle w:val="BodyText"/>
      </w:pPr>
      <w:r>
        <w:t>• Which workflows create constructive marketplace value.</w:t>
      </w:r>
    </w:p>
    <w:p>
      <w:r>
        <w:br w:type="page"/>
      </w:r>
    </w:p>
    <w:p>
      <w:pPr>
        <w:pStyle w:val="Heading1"/>
      </w:pPr>
      <w:r>
        <w:t>14. Platform Snapshot</w:t>
      </w:r>
    </w:p>
    <w:p>
      <w:pPr>
        <w:pStyle w:val="Callout"/>
      </w:pPr>
      <w:r>
        <w:t>A conceptual map only. No implementation details.</w:t>
      </w:r>
    </w:p>
    <w:p>
      <w:pPr>
        <w:pStyle w:val="BodyText"/>
      </w:pPr>
      <w:r>
        <w:t>This snapshot orients the reader to conceptual layers without exposing proprietary implementation.</w:t>
      </w:r>
    </w:p>
    <w:p>
      <w:pPr>
        <w:pStyle w:val="Diagram"/>
      </w:pPr>
      <w:r>
        <w:t>Identity    -&gt; Knowledge    -&gt; Eligibility    -&gt; Providers    -&gt; Replay    -&gt; Repository    -&gt; Market Intelligence    -&gt; Assessment    -&gt; Strategy    -&gt; Negotiation    -&gt; Decision</w:t>
      </w:r>
    </w:p>
    <w:p>
      <w:r>
        <w:br w:type="page"/>
      </w:r>
    </w:p>
    <w:p>
      <w:pPr>
        <w:pStyle w:val="Heading1"/>
      </w:pPr>
      <w:r>
        <w:t>15. Closing</w:t>
      </w:r>
    </w:p>
    <w:p>
      <w:pPr>
        <w:pStyle w:val="Callout"/>
      </w:pPr>
      <w:r>
        <w:t>Project Phronesis exists to help collectible-market participants make better decisions under real-world conditions.</w:t>
      </w:r>
    </w:p>
    <w:p>
      <w:pPr>
        <w:pStyle w:val="BodyText"/>
      </w:pPr>
      <w:r>
        <w:t>TCGplayer is already a central marketplace in the collectible-card ecosystem.</w:t>
      </w:r>
    </w:p>
    <w:p>
      <w:pPr>
        <w:pStyle w:val="BodyText"/>
      </w:pPr>
      <w:r>
        <w:t>A thoughtful partnership could help collectors and vendors make better decisions before they arrive at the marketplace, then guide qualified, purchase-ready activity toward TCGplayer rather than away from it.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Heading1">
    <w:rPr>
      <w:rFonts w:ascii="Cinzel" w:hAnsi="Cinzel"/>
      <w:b/>
      <w:color w:val="0B1F33"/>
      <w:sz w:val="34"/>
    </w:rPr>
  </w:style>
  <w:style w:type="paragraph" w:styleId="Callout">
    <w:pPr>
      <w:shd w:fill="F7F4EE"/>
      <w:spacing w:after="260"/>
    </w:pPr>
    <w:rPr>
      <w:rFonts w:ascii="Inter" w:hAnsi="Inter"/>
      <w:b/>
      <w:color w:val="0B1F33"/>
      <w:sz w:val="24"/>
    </w:rPr>
  </w:style>
  <w:style w:type="paragraph" w:styleId="BodyText">
    <w:pPr>
      <w:spacing w:after="160" w:line="320" w:lineRule="auto"/>
    </w:pPr>
    <w:rPr>
      <w:rFonts w:ascii="Inter" w:hAnsi="Inter"/>
      <w:color w:val="0B1F33"/>
      <w:sz w:val="21"/>
    </w:rPr>
  </w:style>
  <w:style w:type="paragraph" w:styleId="Diagram">
    <w:pPr>
      <w:jc w:val="center"/>
      <w:shd w:fill="F7F4EE"/>
    </w:pPr>
    <w:rPr>
      <w:rFonts w:ascii="Inter" w:hAnsi="Inter"/>
      <w:color w:val="0B1F33"/>
      <w:sz w:val="19"/>
    </w:rPr>
  </w:style>
</w:styles>
</file>