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Meta"/>
      </w:pPr>
      <w:r>
        <w:t xml:space="preserve">[Reserved Project Phronesis Logo Area]</w:t>
      </w:r>
    </w:p>
    <w:p>
      <w:pPr>
        <w:pStyle w:val="CoverTitle"/>
      </w:pPr>
      <w:r>
        <w:t xml:space="preserve">PROJECT PHRONESIS</w:t>
      </w:r>
    </w:p>
    <w:p>
      <w:pPr>
        <w:pStyle w:val="CoverSubtitle"/>
      </w:pPr>
      <w:r>
        <w:t xml:space="preserve">Practical Wisdom. Better Decisions.</w:t>
      </w:r>
    </w:p>
    <w:p>
      <w:pPr>
        <w:pStyle w:val="CoverDocTitle"/>
      </w:pPr>
      <w:r>
        <w:t xml:space="preserve">TCGplayer Ecosystem Partnership Proposal</w:t>
      </w:r>
    </w:p>
    <w:p>
      <w:pPr>
        <w:pStyle w:val="CoverMeta"/>
      </w:pPr>
      <w:r>
        <w:t xml:space="preserve">Prepared For: TCGplayer</w:t>
      </w:r>
    </w:p>
    <w:p>
      <w:pPr>
        <w:pStyle w:val="CoverMeta"/>
      </w:pPr>
      <w:r>
        <w:t xml:space="preserve">Date: July 9, 2026</w:t>
      </w:r>
    </w:p>
    <w:p>
      <w:pPr>
        <w:pStyle w:val="CoverMeta"/>
      </w:pPr>
      <w:r>
        <w:t xml:space="preserve">Version: 1.0</w:t>
      </w:r>
    </w:p>
    <w:p>
      <w:r>
        <w:br w:type="page"/>
      </w:r>
    </w:p>
    <w:p>
      <w:pPr>
        <w:pStyle w:val="Heading1"/>
      </w:pPr>
      <w:r>
        <w:t xml:space="preserve">Executive Summary</w:t>
      </w:r>
    </w:p>
    <w:p>
      <w:pPr>
        <w:pStyle w:val="Callout"/>
      </w:pPr>
      <w:r>
        <w:t xml:space="preserve">Project Phronesis can strengthen the TCGplayer ecosystem by helping marketplace participants arrive with more context, more confidence, and clearer intent.</w:t>
      </w:r>
    </w:p>
    <w:p>
      <w:pPr>
        <w:pStyle w:val="BodyText"/>
      </w:pPr>
      <w:r>
        <w:t xml:space="preserve">Project Phronesis is the internal engineering initiative responsible for developing an evidence-driven decision intelligence platform for collectible markets.</w:t>
      </w:r>
    </w:p>
    <w:p>
      <w:pPr>
        <w:pStyle w:val="BodyText"/>
      </w:pPr>
      <w:r>
        <w:t xml:space="preserve">Project Phronesis is the engineering identity, not necessarily the future customer-facing product name. The commercial product name has intentionally not yet been chosen.</w:t>
      </w:r>
    </w:p>
    <w:p>
      <w:pPr>
        <w:pStyle w:val="BodyText"/>
      </w:pPr>
      <w:r>
        <w:t xml:space="preserve">The project is inspired by the Greek concept of phronesis: practical wisdom, or the disciplined ability to make sound decisions under real-world conditions.</w:t>
      </w:r>
    </w:p>
    <w:p>
      <w:pPr>
        <w:pStyle w:val="Heading2"/>
      </w:pPr>
      <w:r>
        <w:t xml:space="preserve">Core Position</w:t>
      </w:r>
    </w:p>
    <w:tbl>
      <w:tblPr>
        <w:tblStyle w:val="TableGrid"/>
        <w:tblW w:w="0" w:type="auto"/>
        <w:tblBorders>
          <w:top w:val="single" w:sz="2" w:color="E5E7EB"/>
          <w:left w:val="single" w:sz="2" w:color="E5E7EB"/>
          <w:bottom w:val="single" w:sz="2" w:color="E5E7EB"/>
          <w:right w:val="single" w:sz="2" w:color="E5E7EB"/>
          <w:insideH w:val="single" w:sz="2" w:color="E5E7EB"/>
          <w:insideV w:val="single" w:sz="2" w:color="E5E7EB"/>
        </w:tblBorders>
      </w:tblPr>
      <w:tr>
        <w:tc>
          <w:tcPr>
            <w:shd w:fill="F7F4EE"/>
            <w:tcW w:w="3000" w:type="dxa"/>
          </w:tcPr>
          <w:p>
            <w:pPr>
              <w:pStyle w:val="TableHeader"/>
            </w:pPr>
            <w:r>
              <w:t xml:space="preserve">Question</w:t>
            </w:r>
          </w:p>
        </w:tc>
        <w:tc>
          <w:tcPr>
            <w:shd w:fill="F7F4EE"/>
            <w:tcW w:w="3000" w:type="dxa"/>
          </w:tcPr>
          <w:p>
            <w:pPr>
              <w:pStyle w:val="TableHeader"/>
            </w:pPr>
            <w:r>
              <w:t xml:space="preserve">Answer</w:t>
            </w:r>
          </w:p>
        </w:tc>
      </w:tr>
      <w:tr>
        <w:tc>
          <w:tcPr>
            <w:shd w:fill="FFFFFF"/>
            <w:tcW w:w="3000" w:type="dxa"/>
          </w:tcPr>
          <w:p>
            <w:pPr>
              <w:pStyle w:val="TableText"/>
            </w:pPr>
            <w:r>
              <w:t xml:space="preserve">What is this proposal?</w:t>
            </w:r>
          </w:p>
        </w:tc>
        <w:tc>
          <w:tcPr>
            <w:shd w:fill="FFFFFF"/>
            <w:tcW w:w="3000" w:type="dxa"/>
          </w:tcPr>
          <w:p>
            <w:pPr>
              <w:pStyle w:val="TableText"/>
            </w:pPr>
            <w:r>
              <w:t xml:space="preserve">A long-term ecosystem partnership conversation.</w:t>
            </w:r>
          </w:p>
        </w:tc>
      </w:tr>
      <w:tr>
        <w:tc>
          <w:tcPr>
            <w:shd w:fill="FFFFFF"/>
            <w:tcW w:w="3000" w:type="dxa"/>
          </w:tcPr>
          <w:p>
            <w:pPr>
              <w:pStyle w:val="TableText"/>
            </w:pPr>
            <w:r>
              <w:t xml:space="preserve">What is it not?</w:t>
            </w:r>
          </w:p>
        </w:tc>
        <w:tc>
          <w:tcPr>
            <w:shd w:fill="FFFFFF"/>
            <w:tcW w:w="3000" w:type="dxa"/>
          </w:tcPr>
          <w:p>
            <w:pPr>
              <w:pStyle w:val="TableText"/>
            </w:pPr>
            <w:r>
              <w:t xml:space="preserve">An API access request.</w:t>
            </w:r>
          </w:p>
        </w:tc>
      </w:tr>
      <w:tr>
        <w:tc>
          <w:tcPr>
            <w:shd w:fill="FFFFFF"/>
            <w:tcW w:w="3000" w:type="dxa"/>
          </w:tcPr>
          <w:p>
            <w:pPr>
              <w:pStyle w:val="TableText"/>
            </w:pPr>
            <w:r>
              <w:t xml:space="preserve">What is the platform trying to do?</w:t>
            </w:r>
          </w:p>
        </w:tc>
        <w:tc>
          <w:tcPr>
            <w:shd w:fill="FFFFFF"/>
            <w:tcW w:w="3000" w:type="dxa"/>
          </w:tcPr>
          <w:p>
            <w:pPr>
              <w:pStyle w:val="TableText"/>
            </w:pPr>
            <w:r>
              <w:t xml:space="preserve">Help collectors, vendors, and professional operators make better decisions from available market evidence.</w:t>
            </w:r>
          </w:p>
        </w:tc>
      </w:tr>
      <w:tr>
        <w:tc>
          <w:tcPr>
            <w:shd w:fill="FFFFFF"/>
            <w:tcW w:w="3000" w:type="dxa"/>
          </w:tcPr>
          <w:p>
            <w:pPr>
              <w:pStyle w:val="TableText"/>
            </w:pPr>
            <w:r>
              <w:t xml:space="preserve">How should it relate to TCGplayer?</w:t>
            </w:r>
          </w:p>
        </w:tc>
        <w:tc>
          <w:tcPr>
            <w:shd w:fill="FFFFFF"/>
            <w:tcW w:w="3000" w:type="dxa"/>
          </w:tcPr>
          <w:p>
            <w:pPr>
              <w:pStyle w:val="TableText"/>
            </w:pPr>
            <w:r>
              <w:t xml:space="preserve">Complement marketplace activity, not replace it.</w:t>
            </w:r>
          </w:p>
        </w:tc>
      </w:tr>
    </w:tbl>
    <w:p>
      <w:r>
        <w:br w:type="page"/>
      </w:r>
    </w:p>
    <w:p>
      <w:pPr>
        <w:pStyle w:val="Heading1"/>
      </w:pPr>
      <w:r>
        <w:t xml:space="preserve">Why Project Phronesis Exists</w:t>
      </w:r>
    </w:p>
    <w:p>
      <w:pPr>
        <w:pStyle w:val="Callout"/>
      </w:pPr>
      <w:r>
        <w:t xml:space="preserve">The platform is not designed merely to display market data. It exists to help users make better decisions.</w:t>
      </w:r>
    </w:p>
    <w:p>
      <w:pPr>
        <w:pStyle w:val="BodyText"/>
      </w:pPr>
      <w:r>
        <w:t xml:space="preserve">Project Phronesis applies practical wisdom to collectible-market decisions: evidence before conclusions, disciplined judgment before action, and explainable intelligence instead of opaque claims.</w:t>
      </w:r>
    </w:p>
    <w:p>
      <w:pPr>
        <w:pStyle w:val="BodyText"/>
      </w:pPr>
      <w:r>
        <w:t xml:space="preserve">When users understand an asset more clearly before they buy, sell, restock, or monitor it, the marketplace can benefit from more informed participation.</w:t>
      </w:r>
    </w:p>
    <w:p>
      <w:pPr>
        <w:pStyle w:val="Heading2"/>
      </w:pPr>
      <w:r>
        <w:t xml:space="preserve">Operating Principles</w:t>
      </w:r>
    </w:p>
    <w:tbl>
      <w:tblPr>
        <w:tblStyle w:val="TableGrid"/>
        <w:tblW w:w="0" w:type="auto"/>
        <w:tblBorders>
          <w:top w:val="single" w:sz="2" w:color="E5E7EB"/>
          <w:left w:val="single" w:sz="2" w:color="E5E7EB"/>
          <w:bottom w:val="single" w:sz="2" w:color="E5E7EB"/>
          <w:right w:val="single" w:sz="2" w:color="E5E7EB"/>
          <w:insideH w:val="single" w:sz="2" w:color="E5E7EB"/>
          <w:insideV w:val="single" w:sz="2" w:color="E5E7EB"/>
        </w:tblBorders>
      </w:tblPr>
      <w:tr>
        <w:tc>
          <w:tcPr>
            <w:shd w:fill="F7F4EE"/>
            <w:tcW w:w="3000" w:type="dxa"/>
          </w:tcPr>
          <w:p>
            <w:pPr>
              <w:pStyle w:val="TableHeader"/>
            </w:pPr>
            <w:r>
              <w:t xml:space="preserve">Principle</w:t>
            </w:r>
          </w:p>
        </w:tc>
        <w:tc>
          <w:tcPr>
            <w:shd w:fill="F7F4EE"/>
            <w:tcW w:w="3000" w:type="dxa"/>
          </w:tcPr>
          <w:p>
            <w:pPr>
              <w:pStyle w:val="TableHeader"/>
            </w:pPr>
            <w:r>
              <w:t xml:space="preserve">Meaning</w:t>
            </w:r>
          </w:p>
        </w:tc>
      </w:tr>
      <w:tr>
        <w:tc>
          <w:tcPr>
            <w:shd w:fill="FFFFFF"/>
            <w:tcW w:w="3000" w:type="dxa"/>
          </w:tcPr>
          <w:p>
            <w:pPr>
              <w:pStyle w:val="TableText"/>
            </w:pPr>
            <w:r>
              <w:t xml:space="preserve">Practical Wisdom</w:t>
            </w:r>
          </w:p>
        </w:tc>
        <w:tc>
          <w:tcPr>
            <w:shd w:fill="FFFFFF"/>
            <w:tcW w:w="3000" w:type="dxa"/>
          </w:tcPr>
          <w:p>
            <w:pPr>
              <w:pStyle w:val="TableText"/>
            </w:pPr>
            <w:r>
              <w:t xml:space="preserve">Sound decisions under real-world conditions.</w:t>
            </w:r>
          </w:p>
        </w:tc>
      </w:tr>
      <w:tr>
        <w:tc>
          <w:tcPr>
            <w:shd w:fill="FFFFFF"/>
            <w:tcW w:w="3000" w:type="dxa"/>
          </w:tcPr>
          <w:p>
            <w:pPr>
              <w:pStyle w:val="TableText"/>
            </w:pPr>
            <w:r>
              <w:t xml:space="preserve">Evidence Before Conclusions</w:t>
            </w:r>
          </w:p>
        </w:tc>
        <w:tc>
          <w:tcPr>
            <w:shd w:fill="FFFFFF"/>
            <w:tcW w:w="3000" w:type="dxa"/>
          </w:tcPr>
          <w:p>
            <w:pPr>
              <w:pStyle w:val="TableText"/>
            </w:pPr>
            <w:r>
              <w:t xml:space="preserve">Market evidence should support claims before users act.</w:t>
            </w:r>
          </w:p>
        </w:tc>
      </w:tr>
      <w:tr>
        <w:tc>
          <w:tcPr>
            <w:shd w:fill="FFFFFF"/>
            <w:tcW w:w="3000" w:type="dxa"/>
          </w:tcPr>
          <w:p>
            <w:pPr>
              <w:pStyle w:val="TableText"/>
            </w:pPr>
            <w:r>
              <w:t xml:space="preserve">Reason Before Action</w:t>
            </w:r>
          </w:p>
        </w:tc>
        <w:tc>
          <w:tcPr>
            <w:shd w:fill="FFFFFF"/>
            <w:tcW w:w="3000" w:type="dxa"/>
          </w:tcPr>
          <w:p>
            <w:pPr>
              <w:pStyle w:val="TableText"/>
            </w:pPr>
            <w:r>
              <w:t xml:space="preserve">Users should understand why an asset may or may not be attractive.</w:t>
            </w:r>
          </w:p>
        </w:tc>
      </w:tr>
      <w:tr>
        <w:tc>
          <w:tcPr>
            <w:shd w:fill="FFFFFF"/>
            <w:tcW w:w="3000" w:type="dxa"/>
          </w:tcPr>
          <w:p>
            <w:pPr>
              <w:pStyle w:val="TableText"/>
            </w:pPr>
            <w:r>
              <w:t xml:space="preserve">Marketplace Enablement</w:t>
            </w:r>
          </w:p>
        </w:tc>
        <w:tc>
          <w:tcPr>
            <w:shd w:fill="FFFFFF"/>
            <w:tcW w:w="3000" w:type="dxa"/>
          </w:tcPr>
          <w:p>
            <w:pPr>
              <w:pStyle w:val="TableText"/>
            </w:pPr>
            <w:r>
              <w:t xml:space="preserve">Better decisions should strengthen trusted marketplaces.</w:t>
            </w:r>
          </w:p>
        </w:tc>
      </w:tr>
    </w:tbl>
    <w:p>
      <w:r>
        <w:br w:type="page"/>
      </w:r>
    </w:p>
    <w:p>
      <w:pPr>
        <w:pStyle w:val="Heading1"/>
      </w:pPr>
      <w:r>
        <w:t xml:space="preserve">Why This Benefits TCGplayer</w:t>
      </w:r>
    </w:p>
    <w:p>
      <w:pPr>
        <w:pStyle w:val="Callout"/>
      </w:pPr>
      <w:r>
        <w:t xml:space="preserve">Better decision support can help users move from uncertainty to informed marketplace participation.</w:t>
      </w:r>
    </w:p>
    <w:p>
      <w:pPr>
        <w:pStyle w:val="BodyText"/>
      </w:pPr>
      <w:r>
        <w:t xml:space="preserve">Collaboration with Project Phronesis could support the TCGplayer ecosystem by helping marketplace participants become more confident, more informed, and more prepared to act.</w:t>
      </w:r>
    </w:p>
    <w:tbl>
      <w:tblPr>
        <w:tblStyle w:val="TableGrid"/>
        <w:tblW w:w="0" w:type="auto"/>
        <w:tblBorders>
          <w:top w:val="single" w:sz="2" w:color="E5E7EB"/>
          <w:left w:val="single" w:sz="2" w:color="E5E7EB"/>
          <w:bottom w:val="single" w:sz="2" w:color="E5E7EB"/>
          <w:right w:val="single" w:sz="2" w:color="E5E7EB"/>
          <w:insideH w:val="single" w:sz="2" w:color="E5E7EB"/>
          <w:insideV w:val="single" w:sz="2" w:color="E5E7EB"/>
        </w:tblBorders>
      </w:tblPr>
      <w:tr>
        <w:tc>
          <w:tcPr>
            <w:shd w:fill="F7F4EE"/>
            <w:tcW w:w="3000" w:type="dxa"/>
          </w:tcPr>
          <w:p>
            <w:pPr>
              <w:pStyle w:val="TableHeader"/>
            </w:pPr>
            <w:r>
              <w:t xml:space="preserve">Benefit Area</w:t>
            </w:r>
          </w:p>
        </w:tc>
        <w:tc>
          <w:tcPr>
            <w:shd w:fill="F7F4EE"/>
            <w:tcW w:w="3000" w:type="dxa"/>
          </w:tcPr>
          <w:p>
            <w:pPr>
              <w:pStyle w:val="TableHeader"/>
            </w:pPr>
            <w:r>
              <w:t xml:space="preserve">Intended Ecosystem Value</w:t>
            </w:r>
          </w:p>
        </w:tc>
      </w:tr>
      <w:tr>
        <w:tc>
          <w:tcPr>
            <w:shd w:fill="FFFFFF"/>
            <w:tcW w:w="3000" w:type="dxa"/>
          </w:tcPr>
          <w:p>
            <w:pPr>
              <w:pStyle w:val="TableText"/>
            </w:pPr>
            <w:r>
              <w:t xml:space="preserve">Buyer Confidence</w:t>
            </w:r>
          </w:p>
        </w:tc>
        <w:tc>
          <w:tcPr>
            <w:shd w:fill="FFFFFF"/>
            <w:tcW w:w="3000" w:type="dxa"/>
          </w:tcPr>
          <w:p>
            <w:pPr>
              <w:pStyle w:val="TableText"/>
            </w:pPr>
            <w:r>
              <w:t xml:space="preserve">Users understand market context before purchase.</w:t>
            </w:r>
          </w:p>
        </w:tc>
      </w:tr>
      <w:tr>
        <w:tc>
          <w:tcPr>
            <w:shd w:fill="FFFFFF"/>
            <w:tcW w:w="3000" w:type="dxa"/>
          </w:tcPr>
          <w:p>
            <w:pPr>
              <w:pStyle w:val="TableText"/>
            </w:pPr>
            <w:r>
              <w:t xml:space="preserve">Vendor Decisions</w:t>
            </w:r>
          </w:p>
        </w:tc>
        <w:tc>
          <w:tcPr>
            <w:shd w:fill="FFFFFF"/>
            <w:tcW w:w="3000" w:type="dxa"/>
          </w:tcPr>
          <w:p>
            <w:pPr>
              <w:pStyle w:val="TableText"/>
            </w:pPr>
            <w:r>
              <w:t xml:space="preserve">Vendors make better purchasing and restock decisions.</w:t>
            </w:r>
          </w:p>
        </w:tc>
      </w:tr>
      <w:tr>
        <w:tc>
          <w:tcPr>
            <w:shd w:fill="FFFFFF"/>
            <w:tcW w:w="3000" w:type="dxa"/>
          </w:tcPr>
          <w:p>
            <w:pPr>
              <w:pStyle w:val="TableText"/>
            </w:pPr>
            <w:r>
              <w:t xml:space="preserve">Marketplace Transparency</w:t>
            </w:r>
          </w:p>
        </w:tc>
        <w:tc>
          <w:tcPr>
            <w:shd w:fill="FFFFFF"/>
            <w:tcW w:w="3000" w:type="dxa"/>
          </w:tcPr>
          <w:p>
            <w:pPr>
              <w:pStyle w:val="TableText"/>
            </w:pPr>
            <w:r>
              <w:t xml:space="preserve">Decisions become easier to explain and trust.</w:t>
            </w:r>
          </w:p>
        </w:tc>
      </w:tr>
      <w:tr>
        <w:tc>
          <w:tcPr>
            <w:shd w:fill="FFFFFF"/>
            <w:tcW w:w="3000" w:type="dxa"/>
          </w:tcPr>
          <w:p>
            <w:pPr>
              <w:pStyle w:val="TableText"/>
            </w:pPr>
            <w:r>
              <w:t xml:space="preserve">Collector Education</w:t>
            </w:r>
          </w:p>
        </w:tc>
        <w:tc>
          <w:tcPr>
            <w:shd w:fill="FFFFFF"/>
            <w:tcW w:w="3000" w:type="dxa"/>
          </w:tcPr>
          <w:p>
            <w:pPr>
              <w:pStyle w:val="TableText"/>
            </w:pPr>
            <w:r>
              <w:t xml:space="preserve">Users learn how evidence, condition, printings, and market movement affect decisions.</w:t>
            </w:r>
          </w:p>
        </w:tc>
      </w:tr>
      <w:tr>
        <w:tc>
          <w:tcPr>
            <w:shd w:fill="FFFFFF"/>
            <w:tcW w:w="3000" w:type="dxa"/>
          </w:tcPr>
          <w:p>
            <w:pPr>
              <w:pStyle w:val="TableText"/>
            </w:pPr>
            <w:r>
              <w:t xml:space="preserve">Purchase Intent</w:t>
            </w:r>
          </w:p>
        </w:tc>
        <w:tc>
          <w:tcPr>
            <w:shd w:fill="FFFFFF"/>
            <w:tcW w:w="3000" w:type="dxa"/>
          </w:tcPr>
          <w:p>
            <w:pPr>
              <w:pStyle w:val="TableText"/>
            </w:pPr>
            <w:r>
              <w:t xml:space="preserve">Users who have evaluated an asset are closer to meaningful marketplace action.</w:t>
            </w:r>
          </w:p>
        </w:tc>
      </w:tr>
      <w:tr>
        <w:tc>
          <w:tcPr>
            <w:shd w:fill="FFFFFF"/>
            <w:tcW w:w="3000" w:type="dxa"/>
          </w:tcPr>
          <w:p>
            <w:pPr>
              <w:pStyle w:val="TableText"/>
            </w:pPr>
            <w:r>
              <w:t xml:space="preserve">Responsible Usage</w:t>
            </w:r>
          </w:p>
        </w:tc>
        <w:tc>
          <w:tcPr>
            <w:shd w:fill="FFFFFF"/>
            <w:tcW w:w="3000" w:type="dxa"/>
          </w:tcPr>
          <w:p>
            <w:pPr>
              <w:pStyle w:val="TableText"/>
            </w:pPr>
            <w:r>
              <w:t xml:space="preserve">Thoughtful engineering reduces unnecessary repeated external requests.</w:t>
            </w:r>
          </w:p>
        </w:tc>
      </w:tr>
      <w:tr>
        <w:tc>
          <w:tcPr>
            <w:shd w:fill="FFFFFF"/>
            <w:tcW w:w="3000" w:type="dxa"/>
          </w:tcPr>
          <w:p>
            <w:pPr>
              <w:pStyle w:val="TableText"/>
            </w:pPr>
            <w:r>
              <w:t xml:space="preserve">Long-Term Engagement</w:t>
            </w:r>
          </w:p>
        </w:tc>
        <w:tc>
          <w:tcPr>
            <w:shd w:fill="FFFFFF"/>
            <w:tcW w:w="3000" w:type="dxa"/>
          </w:tcPr>
          <w:p>
            <w:pPr>
              <w:pStyle w:val="TableText"/>
            </w:pPr>
            <w:r>
              <w:t xml:space="preserve">Trusted marketplaces remain the destination for informed action.</w:t>
            </w:r>
          </w:p>
        </w:tc>
      </w:tr>
    </w:tbl>
    <w:p>
      <w:pPr>
        <w:pStyle w:val="BodyText"/>
      </w:pPr>
      <w:r>
        <w:t xml:space="preserve">These are intended areas of alignment, not promises of measurable business outcomes.</w:t>
      </w:r>
    </w:p>
    <w:p>
      <w:r>
        <w:br w:type="page"/>
      </w:r>
    </w:p>
    <w:p>
      <w:pPr>
        <w:pStyle w:val="Heading1"/>
      </w:pPr>
      <w:r>
        <w:t xml:space="preserve">Marketplace Flywheel</w:t>
      </w:r>
    </w:p>
    <w:p>
      <w:pPr>
        <w:pStyle w:val="Diagram"/>
      </w:pPr>
      <w:r>
        <w:t xml:space="preserve">Collector / Vendor   |   v   Project Phronesis   |   v   Evidence-Driven Decision Support   |   v   TCGplayer   |   v   Marketplace Participation   |   v   Better-Informed Users</w:t>
      </w:r>
    </w:p>
    <w:p>
      <w:pPr>
        <w:pStyle w:val="Heading2"/>
      </w:pPr>
      <w:r>
        <w:t xml:space="preserve">Marketplace Alignment</w:t>
      </w:r>
    </w:p>
    <w:p>
      <w:pPr>
        <w:pStyle w:val="BodyText"/>
      </w:pPr>
      <w:r>
        <w:t xml:space="preserve">Project Phronesis is designed to complement marketplace activity. The objective is to help users become better prepared when they reach TCGplayer, then guide qualified, purchase-ready activity toward the marketplace rather than away from it.</w:t>
      </w:r>
    </w:p>
    <w:p>
      <w:r>
        <w:br w:type="page"/>
      </w:r>
    </w:p>
    <w:p>
      <w:pPr>
        <w:pStyle w:val="Heading1"/>
      </w:pPr>
      <w:r>
        <w:t xml:space="preserve">Global Ecosystem Vision</w:t>
      </w:r>
    </w:p>
    <w:p>
      <w:pPr>
        <w:pStyle w:val="Diagram"/>
      </w:pPr>
      <w:r>
        <w:t xml:space="preserve">North America        Brazil        Europe        Asia   \                |             |             /   \               |             |            /   Project Phronesis   |   v   TCGplayer</w:t>
      </w:r>
    </w:p>
    <w:p>
      <w:pPr>
        <w:pStyle w:val="BodyText"/>
      </w:pPr>
      <w:r>
        <w:t xml:space="preserve">Project Phronesis is guided by people with decades of practical participation in the trading-card hobby across multiple regions, including North America, Brazil, Europe, and Asia.</w:t>
      </w:r>
    </w:p>
    <w:p>
      <w:pPr>
        <w:pStyle w:val="BodyText"/>
      </w:pPr>
      <w:r>
        <w:t xml:space="preserve">That experience matters because collectible markets are not experienced the same way everywhere. Product availability, buying habits, condition expectations, payment preferences, shipping barriers, and trust signals can differ significantly by region.</w:t>
      </w:r>
    </w:p>
    <w:p>
      <w:pPr>
        <w:pStyle w:val="Heading2"/>
      </w:pPr>
      <w:r>
        <w:t xml:space="preserve">Why This Matters</w:t>
      </w:r>
    </w:p>
    <w:tbl>
      <w:tblPr>
        <w:tblStyle w:val="TableGrid"/>
        <w:tblW w:w="0" w:type="auto"/>
        <w:tblBorders>
          <w:top w:val="single" w:sz="2" w:color="E5E7EB"/>
          <w:left w:val="single" w:sz="2" w:color="E5E7EB"/>
          <w:bottom w:val="single" w:sz="2" w:color="E5E7EB"/>
          <w:right w:val="single" w:sz="2" w:color="E5E7EB"/>
          <w:insideH w:val="single" w:sz="2" w:color="E5E7EB"/>
          <w:insideV w:val="single" w:sz="2" w:color="E5E7EB"/>
        </w:tblBorders>
      </w:tblPr>
      <w:tr>
        <w:tc>
          <w:tcPr>
            <w:shd w:fill="F7F4EE"/>
            <w:tcW w:w="3000" w:type="dxa"/>
          </w:tcPr>
          <w:p>
            <w:pPr>
              <w:pStyle w:val="TableHeader"/>
            </w:pPr>
            <w:r>
              <w:t xml:space="preserve">Regional Consideration</w:t>
            </w:r>
          </w:p>
        </w:tc>
        <w:tc>
          <w:tcPr>
            <w:shd w:fill="F7F4EE"/>
            <w:tcW w:w="3000" w:type="dxa"/>
          </w:tcPr>
          <w:p>
            <w:pPr>
              <w:pStyle w:val="TableHeader"/>
            </w:pPr>
            <w:r>
              <w:t xml:space="preserve">Marketplace Relevance</w:t>
            </w:r>
          </w:p>
        </w:tc>
      </w:tr>
      <w:tr>
        <w:tc>
          <w:tcPr>
            <w:shd w:fill="FFFFFF"/>
            <w:tcW w:w="3000" w:type="dxa"/>
          </w:tcPr>
          <w:p>
            <w:pPr>
              <w:pStyle w:val="TableText"/>
            </w:pPr>
            <w:r>
              <w:t xml:space="preserve">Collector behavior differs by region.</w:t>
            </w:r>
          </w:p>
        </w:tc>
        <w:tc>
          <w:tcPr>
            <w:shd w:fill="FFFFFF"/>
            <w:tcW w:w="3000" w:type="dxa"/>
          </w:tcPr>
          <w:p>
            <w:pPr>
              <w:pStyle w:val="TableText"/>
            </w:pPr>
            <w:r>
              <w:t xml:space="preserve">Education can improve confidence before purchase.</w:t>
            </w:r>
          </w:p>
        </w:tc>
      </w:tr>
      <w:tr>
        <w:tc>
          <w:tcPr>
            <w:shd w:fill="FFFFFF"/>
            <w:tcW w:w="3000" w:type="dxa"/>
          </w:tcPr>
          <w:p>
            <w:pPr>
              <w:pStyle w:val="TableText"/>
            </w:pPr>
            <w:r>
              <w:t xml:space="preserve">Product availability is uneven.</w:t>
            </w:r>
          </w:p>
        </w:tc>
        <w:tc>
          <w:tcPr>
            <w:shd w:fill="FFFFFF"/>
            <w:tcW w:w="3000" w:type="dxa"/>
          </w:tcPr>
          <w:p>
            <w:pPr>
              <w:pStyle w:val="TableText"/>
            </w:pPr>
            <w:r>
              <w:t xml:space="preserve">Users need better context before deciding where to buy.</w:t>
            </w:r>
          </w:p>
        </w:tc>
      </w:tr>
      <w:tr>
        <w:tc>
          <w:tcPr>
            <w:shd w:fill="FFFFFF"/>
            <w:tcW w:w="3000" w:type="dxa"/>
          </w:tcPr>
          <w:p>
            <w:pPr>
              <w:pStyle w:val="TableText"/>
            </w:pPr>
            <w:r>
              <w:t xml:space="preserve">International buyers face friction.</w:t>
            </w:r>
          </w:p>
        </w:tc>
        <w:tc>
          <w:tcPr>
            <w:shd w:fill="FFFFFF"/>
            <w:tcW w:w="3000" w:type="dxa"/>
          </w:tcPr>
          <w:p>
            <w:pPr>
              <w:pStyle w:val="TableText"/>
            </w:pPr>
            <w:r>
              <w:t xml:space="preserve">Trusted marketplaces can benefit when uncertainty is reduced.</w:t>
            </w:r>
          </w:p>
        </w:tc>
      </w:tr>
      <w:tr>
        <w:tc>
          <w:tcPr>
            <w:shd w:fill="FFFFFF"/>
            <w:tcW w:w="3000" w:type="dxa"/>
          </w:tcPr>
          <w:p>
            <w:pPr>
              <w:pStyle w:val="TableText"/>
            </w:pPr>
            <w:r>
              <w:t xml:space="preserve">Vendor workflows vary by market.</w:t>
            </w:r>
          </w:p>
        </w:tc>
        <w:tc>
          <w:tcPr>
            <w:shd w:fill="FFFFFF"/>
            <w:tcW w:w="3000" w:type="dxa"/>
          </w:tcPr>
          <w:p>
            <w:pPr>
              <w:pStyle w:val="TableText"/>
            </w:pPr>
            <w:r>
              <w:t xml:space="preserve">Better planning can support healthier marketplace participation.</w:t>
            </w:r>
          </w:p>
        </w:tc>
      </w:tr>
    </w:tbl>
    <w:p>
      <w:pPr>
        <w:pStyle w:val="BodyText"/>
      </w:pPr>
      <w:r>
        <w:t xml:space="preserve">This experience is practical context, not a credential claim. Project Phronesis is being built to improve marketplace participation, not compete with existing marketplace infrastructure.</w:t>
      </w:r>
    </w:p>
    <w:p>
      <w:r>
        <w:br w:type="page"/>
      </w:r>
    </w:p>
    <w:p>
      <w:pPr>
        <w:pStyle w:val="Heading1"/>
      </w:pPr>
      <w:r>
        <w:t xml:space="preserve">Future User Workflows</w:t>
      </w:r>
    </w:p>
    <w:p>
      <w:pPr>
        <w:pStyle w:val="Diagram"/>
      </w:pPr>
      <w:r>
        <w:t xml:space="preserve">Collection Management   |   v   Watchlists + Market Monitoring   |   v   Inventory + Restock Planning   |   v   Decision Support   |   v   Trusted Marketplace</w:t>
      </w:r>
    </w:p>
    <w:p>
      <w:pPr>
        <w:pStyle w:val="BodyText"/>
      </w:pPr>
      <w:r>
        <w:t xml:space="preserve">Project Phronesis aims to become an intelligence layer that connects collectors, vendors, and marketplaces across regions.</w:t>
      </w:r>
    </w:p>
    <w:p>
      <w:pPr>
        <w:pStyle w:val="BodyText"/>
      </w:pPr>
      <w:r>
        <w:t xml:space="preserve">Future workflows may include collection management, inventory management, portfolio tracking, watchlists, market monitoring, purchase planning, restock planning, vendor evaluation, and marketplace-aware decision support.</w:t>
      </w:r>
    </w:p>
    <w:p>
      <w:pPr>
        <w:pStyle w:val="BodyText"/>
      </w:pPr>
      <w:r>
        <w:t xml:space="preserve">These workflows naturally create qualified purchase intent. A user who has evaluated an asset, understood the market context, and decided to act is closer to a meaningful marketplace transaction than a user performing a casual lookup.</w:t>
      </w:r>
    </w:p>
    <w:p>
      <w:r>
        <w:br w:type="page"/>
      </w:r>
    </w:p>
    <w:p>
      <w:pPr>
        <w:pStyle w:val="Heading1"/>
      </w:pPr>
      <w:r>
        <w:t xml:space="preserve">Current Platform And Future Vision</w:t>
      </w:r>
    </w:p>
    <w:p>
      <w:pPr>
        <w:pStyle w:val="Callout"/>
      </w:pPr>
      <w:r>
        <w:t xml:space="preserve">Current foundation and future direction are intentionally separate.</w:t>
      </w:r>
    </w:p>
    <w:tbl>
      <w:tblPr>
        <w:tblStyle w:val="TableGrid"/>
        <w:tblW w:w="0" w:type="auto"/>
        <w:tblBorders>
          <w:top w:val="single" w:sz="2" w:color="E5E7EB"/>
          <w:left w:val="single" w:sz="2" w:color="E5E7EB"/>
          <w:bottom w:val="single" w:sz="2" w:color="E5E7EB"/>
          <w:right w:val="single" w:sz="2" w:color="E5E7EB"/>
          <w:insideH w:val="single" w:sz="2" w:color="E5E7EB"/>
          <w:insideV w:val="single" w:sz="2" w:color="E5E7EB"/>
        </w:tblBorders>
      </w:tblPr>
      <w:tr>
        <w:tc>
          <w:tcPr>
            <w:shd w:fill="F7F4EE"/>
            <w:tcW w:w="3000" w:type="dxa"/>
          </w:tcPr>
          <w:p>
            <w:pPr>
              <w:pStyle w:val="TableHeader"/>
            </w:pPr>
            <w:r>
              <w:t xml:space="preserve">Area</w:t>
            </w:r>
          </w:p>
        </w:tc>
        <w:tc>
          <w:tcPr>
            <w:shd w:fill="F7F4EE"/>
            <w:tcW w:w="3000" w:type="dxa"/>
          </w:tcPr>
          <w:p>
            <w:pPr>
              <w:pStyle w:val="TableHeader"/>
            </w:pPr>
            <w:r>
              <w:t xml:space="preserve">Current Platform</w:t>
            </w:r>
          </w:p>
        </w:tc>
        <w:tc>
          <w:tcPr>
            <w:shd w:fill="F7F4EE"/>
            <w:tcW w:w="3000" w:type="dxa"/>
          </w:tcPr>
          <w:p>
            <w:pPr>
              <w:pStyle w:val="TableHeader"/>
            </w:pPr>
            <w:r>
              <w:t xml:space="preserve">Future Vision</w:t>
            </w:r>
          </w:p>
        </w:tc>
      </w:tr>
      <w:tr>
        <w:tc>
          <w:tcPr>
            <w:shd w:fill="FFFFFF"/>
            <w:tcW w:w="3000" w:type="dxa"/>
          </w:tcPr>
          <w:p>
            <w:pPr>
              <w:pStyle w:val="TableText"/>
            </w:pPr>
            <w:r>
              <w:t xml:space="preserve">Decision Support</w:t>
            </w:r>
          </w:p>
        </w:tc>
        <w:tc>
          <w:tcPr>
            <w:shd w:fill="FFFFFF"/>
            <w:tcW w:w="3000" w:type="dxa"/>
          </w:tcPr>
          <w:p>
            <w:pPr>
              <w:pStyle w:val="TableText"/>
            </w:pPr>
            <w:r>
              <w:t xml:space="preserve">Working foundation for evidence-driven collectible-card evaluation workflows.</w:t>
            </w:r>
          </w:p>
        </w:tc>
        <w:tc>
          <w:tcPr>
            <w:shd w:fill="FFFFFF"/>
            <w:tcW w:w="3000" w:type="dxa"/>
          </w:tcPr>
          <w:p>
            <w:pPr>
              <w:pStyle w:val="TableText"/>
            </w:pPr>
            <w:r>
              <w:t xml:space="preserve">Broader decision support across buying, inventory, collection, portfolio, and marketplace workflows.</w:t>
            </w:r>
          </w:p>
        </w:tc>
      </w:tr>
      <w:tr>
        <w:tc>
          <w:tcPr>
            <w:shd w:fill="FFFFFF"/>
            <w:tcW w:w="3000" w:type="dxa"/>
          </w:tcPr>
          <w:p>
            <w:pPr>
              <w:pStyle w:val="TableText"/>
            </w:pPr>
            <w:r>
              <w:t xml:space="preserve">Marketplace Role</w:t>
            </w:r>
          </w:p>
        </w:tc>
        <w:tc>
          <w:tcPr>
            <w:shd w:fill="FFFFFF"/>
            <w:tcW w:w="3000" w:type="dxa"/>
          </w:tcPr>
          <w:p>
            <w:pPr>
              <w:pStyle w:val="TableText"/>
            </w:pPr>
            <w:r>
              <w:t xml:space="preserve">Marketplace evidence is treated as important context for user decisions.</w:t>
            </w:r>
          </w:p>
        </w:tc>
        <w:tc>
          <w:tcPr>
            <w:shd w:fill="FFFFFF"/>
            <w:tcW w:w="3000" w:type="dxa"/>
          </w:tcPr>
          <w:p>
            <w:pPr>
              <w:pStyle w:val="TableText"/>
            </w:pPr>
            <w:r>
              <w:t xml:space="preserve">Trusted marketplace destinations, including TCGplayer, may receive qualified purchase-ready users.</w:t>
            </w:r>
          </w:p>
        </w:tc>
      </w:tr>
      <w:tr>
        <w:tc>
          <w:tcPr>
            <w:shd w:fill="FFFFFF"/>
            <w:tcW w:w="3000" w:type="dxa"/>
          </w:tcPr>
          <w:p>
            <w:pPr>
              <w:pStyle w:val="TableText"/>
            </w:pPr>
            <w:r>
              <w:t xml:space="preserve">User Workflows</w:t>
            </w:r>
          </w:p>
        </w:tc>
        <w:tc>
          <w:tcPr>
            <w:shd w:fill="FFFFFF"/>
            <w:tcW w:w="3000" w:type="dxa"/>
          </w:tcPr>
          <w:p>
            <w:pPr>
              <w:pStyle w:val="TableText"/>
            </w:pPr>
            <w:r>
              <w:t xml:space="preserve">Vendor-oriented evaluation is the primary current workflow.</w:t>
            </w:r>
          </w:p>
        </w:tc>
        <w:tc>
          <w:tcPr>
            <w:shd w:fill="FFFFFF"/>
            <w:tcW w:w="3000" w:type="dxa"/>
          </w:tcPr>
          <w:p>
            <w:pPr>
              <w:pStyle w:val="TableText"/>
            </w:pPr>
            <w:r>
              <w:t xml:space="preserve">Inventory management, collection management, watchlists, portfolio tracking, restock planning, and purchase planning.</w:t>
            </w:r>
          </w:p>
        </w:tc>
      </w:tr>
      <w:tr>
        <w:tc>
          <w:tcPr>
            <w:shd w:fill="FFFFFF"/>
            <w:tcW w:w="3000" w:type="dxa"/>
          </w:tcPr>
          <w:p>
            <w:pPr>
              <w:pStyle w:val="TableText"/>
            </w:pPr>
            <w:r>
              <w:t xml:space="preserve">Responsible Integration</w:t>
            </w:r>
          </w:p>
        </w:tc>
        <w:tc>
          <w:tcPr>
            <w:shd w:fill="FFFFFF"/>
            <w:tcW w:w="3000" w:type="dxa"/>
          </w:tcPr>
          <w:p>
            <w:pPr>
              <w:pStyle w:val="TableText"/>
            </w:pPr>
            <w:r>
              <w:t xml:space="preserve">Platform behavior emphasizes reuse of prior work and avoiding unnecessary repeated external requests.</w:t>
            </w:r>
          </w:p>
        </w:tc>
        <w:tc>
          <w:tcPr>
            <w:shd w:fill="FFFFFF"/>
            <w:tcW w:w="3000" w:type="dxa"/>
          </w:tcPr>
          <w:p>
            <w:pPr>
              <w:pStyle w:val="TableText"/>
            </w:pPr>
            <w:r>
              <w:t xml:space="preserve">Partner-aligned integration practices, reporting expectations, and mutually agreed operating models.</w:t>
            </w:r>
          </w:p>
        </w:tc>
      </w:tr>
      <w:tr>
        <w:tc>
          <w:tcPr>
            <w:shd w:fill="FFFFFF"/>
            <w:tcW w:w="3000" w:type="dxa"/>
          </w:tcPr>
          <w:p>
            <w:pPr>
              <w:pStyle w:val="TableText"/>
            </w:pPr>
            <w:r>
              <w:t xml:space="preserve">Commercial Identity</w:t>
            </w:r>
          </w:p>
        </w:tc>
        <w:tc>
          <w:tcPr>
            <w:shd w:fill="FFFFFF"/>
            <w:tcW w:w="3000" w:type="dxa"/>
          </w:tcPr>
          <w:p>
            <w:pPr>
              <w:pStyle w:val="TableText"/>
            </w:pPr>
            <w:r>
              <w:t xml:space="preserve">Project Phronesis is the engineering initiative.</w:t>
            </w:r>
          </w:p>
        </w:tc>
        <w:tc>
          <w:tcPr>
            <w:shd w:fill="FFFFFF"/>
            <w:tcW w:w="3000" w:type="dxa"/>
          </w:tcPr>
          <w:p>
            <w:pPr>
              <w:pStyle w:val="TableText"/>
            </w:pPr>
            <w:r>
              <w:t xml:space="preserve">Customer-facing product name to be chosen separately.</w:t>
            </w:r>
          </w:p>
        </w:tc>
      </w:tr>
    </w:tbl>
    <w:p>
      <w:r>
        <w:br w:type="page"/>
      </w:r>
    </w:p>
    <w:p>
      <w:pPr>
        <w:pStyle w:val="Heading1"/>
      </w:pPr>
      <w:r>
        <w:t xml:space="preserve">Responsible Platform Philosophy</w:t>
      </w:r>
    </w:p>
    <w:p>
      <w:pPr>
        <w:pStyle w:val="Callout"/>
      </w:pPr>
      <w:r>
        <w:t xml:space="preserve">Responsible integration means respecting partner infrastructure.</w:t>
      </w:r>
    </w:p>
    <w:p>
      <w:pPr>
        <w:pStyle w:val="BodyText"/>
      </w:pPr>
      <w:r>
        <w:t xml:space="preserve">Project Phronesis has been intentionally designed to respect marketplace infrastructure.</w:t>
      </w:r>
    </w:p>
    <w:p>
      <w:pPr>
        <w:pStyle w:val="BodyText"/>
      </w:pPr>
      <w:r>
        <w:t xml:space="preserve">At a public level, the platform is designed to reuse previously generated observations where appropriate, avoid unnecessary repeated external requests, separate development activity from production activity, request external data only when there is a workflow reason to do so, and support responsible integrations with clear information boundaries.</w:t>
      </w:r>
    </w:p>
    <w:p>
      <w:pPr>
        <w:pStyle w:val="Heading2"/>
      </w:pPr>
      <w:r>
        <w:t xml:space="preserve">Responsible API Philosophy</w:t>
      </w:r>
    </w:p>
    <w:tbl>
      <w:tblPr>
        <w:tblStyle w:val="TableGrid"/>
        <w:tblW w:w="0" w:type="auto"/>
        <w:tblBorders>
          <w:top w:val="single" w:sz="2" w:color="E5E7EB"/>
          <w:left w:val="single" w:sz="2" w:color="E5E7EB"/>
          <w:bottom w:val="single" w:sz="2" w:color="E5E7EB"/>
          <w:right w:val="single" w:sz="2" w:color="E5E7EB"/>
          <w:insideH w:val="single" w:sz="2" w:color="E5E7EB"/>
          <w:insideV w:val="single" w:sz="2" w:color="E5E7EB"/>
        </w:tblBorders>
      </w:tblPr>
      <w:tr>
        <w:tc>
          <w:tcPr>
            <w:shd w:fill="F7F4EE"/>
            <w:tcW w:w="3000" w:type="dxa"/>
          </w:tcPr>
          <w:p>
            <w:pPr>
              <w:pStyle w:val="TableHeader"/>
            </w:pPr>
            <w:r>
              <w:t xml:space="preserve">Principle</w:t>
            </w:r>
          </w:p>
        </w:tc>
        <w:tc>
          <w:tcPr>
            <w:shd w:fill="F7F4EE"/>
            <w:tcW w:w="3000" w:type="dxa"/>
          </w:tcPr>
          <w:p>
            <w:pPr>
              <w:pStyle w:val="TableHeader"/>
            </w:pPr>
            <w:r>
              <w:t xml:space="preserve">Public Meaning</w:t>
            </w:r>
          </w:p>
        </w:tc>
      </w:tr>
      <w:tr>
        <w:tc>
          <w:tcPr>
            <w:shd w:fill="FFFFFF"/>
            <w:tcW w:w="3000" w:type="dxa"/>
          </w:tcPr>
          <w:p>
            <w:pPr>
              <w:pStyle w:val="TableText"/>
            </w:pPr>
            <w:r>
              <w:t xml:space="preserve">Reuse Prior Work</w:t>
            </w:r>
          </w:p>
        </w:tc>
        <w:tc>
          <w:tcPr>
            <w:shd w:fill="FFFFFF"/>
            <w:tcW w:w="3000" w:type="dxa"/>
          </w:tcPr>
          <w:p>
            <w:pPr>
              <w:pStyle w:val="TableText"/>
            </w:pPr>
            <w:r>
              <w:t xml:space="preserve">Repeated user activity should not automatically mean repeated external provider activity.</w:t>
            </w:r>
          </w:p>
        </w:tc>
      </w:tr>
      <w:tr>
        <w:tc>
          <w:tcPr>
            <w:shd w:fill="FFFFFF"/>
            <w:tcW w:w="3000" w:type="dxa"/>
          </w:tcPr>
          <w:p>
            <w:pPr>
              <w:pStyle w:val="TableText"/>
            </w:pPr>
            <w:r>
              <w:t xml:space="preserve">Request With Purpose</w:t>
            </w:r>
          </w:p>
        </w:tc>
        <w:tc>
          <w:tcPr>
            <w:shd w:fill="FFFFFF"/>
            <w:tcW w:w="3000" w:type="dxa"/>
          </w:tcPr>
          <w:p>
            <w:pPr>
              <w:pStyle w:val="TableText"/>
            </w:pPr>
            <w:r>
              <w:t xml:space="preserve">External data should be requested when there is a workflow reason.</w:t>
            </w:r>
          </w:p>
        </w:tc>
      </w:tr>
      <w:tr>
        <w:tc>
          <w:tcPr>
            <w:shd w:fill="FFFFFF"/>
            <w:tcW w:w="3000" w:type="dxa"/>
          </w:tcPr>
          <w:p>
            <w:pPr>
              <w:pStyle w:val="TableText"/>
            </w:pPr>
            <w:r>
              <w:t xml:space="preserve">Respect Infrastructure</w:t>
            </w:r>
          </w:p>
        </w:tc>
        <w:tc>
          <w:tcPr>
            <w:shd w:fill="FFFFFF"/>
            <w:tcW w:w="3000" w:type="dxa"/>
          </w:tcPr>
          <w:p>
            <w:pPr>
              <w:pStyle w:val="TableText"/>
            </w:pPr>
            <w:r>
              <w:t xml:space="preserve">Marketplace and provider systems should be treated as shared infrastructure.</w:t>
            </w:r>
          </w:p>
        </w:tc>
      </w:tr>
      <w:tr>
        <w:tc>
          <w:tcPr>
            <w:shd w:fill="FFFFFF"/>
            <w:tcW w:w="3000" w:type="dxa"/>
          </w:tcPr>
          <w:p>
            <w:pPr>
              <w:pStyle w:val="TableText"/>
            </w:pPr>
            <w:r>
              <w:t xml:space="preserve">Keep Boundaries Clear</w:t>
            </w:r>
          </w:p>
        </w:tc>
        <w:tc>
          <w:tcPr>
            <w:shd w:fill="FFFFFF"/>
            <w:tcW w:w="3000" w:type="dxa"/>
          </w:tcPr>
          <w:p>
            <w:pPr>
              <w:pStyle w:val="TableText"/>
            </w:pPr>
            <w:r>
              <w:t xml:space="preserve">Business value can be discussed without exposing proprietary internals.</w:t>
            </w:r>
          </w:p>
        </w:tc>
      </w:tr>
    </w:tbl>
    <w:p>
      <w:pPr>
        <w:pStyle w:val="BodyText"/>
      </w:pPr>
      <w:r>
        <w:t xml:space="preserve">This proposal does not disclose proprietary implementation details, internal reasoning systems, sensitive data assets, evaluation methods, or competitive algorithms.</w:t>
      </w:r>
    </w:p>
    <w:p>
      <w:r>
        <w:br w:type="page"/>
      </w:r>
    </w:p>
    <w:p>
      <w:pPr>
        <w:pStyle w:val="Heading1"/>
      </w:pPr>
      <w:r>
        <w:t xml:space="preserve">Affiliate Alignment</w:t>
      </w:r>
    </w:p>
    <w:p>
      <w:pPr>
        <w:pStyle w:val="Callout"/>
      </w:pPr>
      <w:r>
        <w:t xml:space="preserve">Affiliate participation should align incentives, not imply access or endorsement.</w:t>
      </w:r>
    </w:p>
    <w:p>
      <w:pPr>
        <w:pStyle w:val="BodyText"/>
      </w:pPr>
      <w:r>
        <w:t xml:space="preserve">The TCGplayer Affiliate Program appears to be a natural extension of this ecosystem philosophy.</w:t>
      </w:r>
    </w:p>
    <w:p>
      <w:pPr>
        <w:pStyle w:val="BodyText"/>
      </w:pPr>
      <w:r>
        <w:t xml:space="preserve">If Project Phronesis helps users evaluate assets and reach purchase intent, affiliate pathways could direct qualified, purchase-ready users toward TCGplayer.</w:t>
      </w:r>
    </w:p>
    <w:tbl>
      <w:tblPr>
        <w:tblStyle w:val="TableGrid"/>
        <w:tblW w:w="0" w:type="auto"/>
        <w:tblBorders>
          <w:top w:val="single" w:sz="2" w:color="E5E7EB"/>
          <w:left w:val="single" w:sz="2" w:color="E5E7EB"/>
          <w:bottom w:val="single" w:sz="2" w:color="E5E7EB"/>
          <w:right w:val="single" w:sz="2" w:color="E5E7EB"/>
          <w:insideH w:val="single" w:sz="2" w:color="E5E7EB"/>
          <w:insideV w:val="single" w:sz="2" w:color="E5E7EB"/>
        </w:tblBorders>
      </w:tblPr>
      <w:tr>
        <w:tc>
          <w:tcPr>
            <w:shd w:fill="F7F4EE"/>
            <w:tcW w:w="3000" w:type="dxa"/>
          </w:tcPr>
          <w:p>
            <w:pPr>
              <w:pStyle w:val="TableHeader"/>
            </w:pPr>
            <w:r>
              <w:t xml:space="preserve">Participant</w:t>
            </w:r>
          </w:p>
        </w:tc>
        <w:tc>
          <w:tcPr>
            <w:shd w:fill="F7F4EE"/>
            <w:tcW w:w="3000" w:type="dxa"/>
          </w:tcPr>
          <w:p>
            <w:pPr>
              <w:pStyle w:val="TableHeader"/>
            </w:pPr>
            <w:r>
              <w:t xml:space="preserve">Alignment</w:t>
            </w:r>
          </w:p>
        </w:tc>
      </w:tr>
      <w:tr>
        <w:tc>
          <w:tcPr>
            <w:shd w:fill="FFFFFF"/>
            <w:tcW w:w="3000" w:type="dxa"/>
          </w:tcPr>
          <w:p>
            <w:pPr>
              <w:pStyle w:val="TableText"/>
            </w:pPr>
            <w:r>
              <w:t xml:space="preserve">Users</w:t>
            </w:r>
          </w:p>
        </w:tc>
        <w:tc>
          <w:tcPr>
            <w:shd w:fill="FFFFFF"/>
            <w:tcW w:w="3000" w:type="dxa"/>
          </w:tcPr>
          <w:p>
            <w:pPr>
              <w:pStyle w:val="TableText"/>
            </w:pPr>
            <w:r>
              <w:t xml:space="preserve">Receive decision support before purchase.</w:t>
            </w:r>
          </w:p>
        </w:tc>
      </w:tr>
      <w:tr>
        <w:tc>
          <w:tcPr>
            <w:shd w:fill="FFFFFF"/>
            <w:tcW w:w="3000" w:type="dxa"/>
          </w:tcPr>
          <w:p>
            <w:pPr>
              <w:pStyle w:val="TableText"/>
            </w:pPr>
            <w:r>
              <w:t xml:space="preserve">TCGplayer</w:t>
            </w:r>
          </w:p>
        </w:tc>
        <w:tc>
          <w:tcPr>
            <w:shd w:fill="FFFFFF"/>
            <w:tcW w:w="3000" w:type="dxa"/>
          </w:tcPr>
          <w:p>
            <w:pPr>
              <w:pStyle w:val="TableText"/>
            </w:pPr>
            <w:r>
              <w:t xml:space="preserve">Receives higher-intent traffic.</w:t>
            </w:r>
          </w:p>
        </w:tc>
      </w:tr>
      <w:tr>
        <w:tc>
          <w:tcPr>
            <w:shd w:fill="FFFFFF"/>
            <w:tcW w:w="3000" w:type="dxa"/>
          </w:tcPr>
          <w:p>
            <w:pPr>
              <w:pStyle w:val="TableText"/>
            </w:pPr>
            <w:r>
              <w:t xml:space="preserve">Sellers</w:t>
            </w:r>
          </w:p>
        </w:tc>
        <w:tc>
          <w:tcPr>
            <w:shd w:fill="FFFFFF"/>
            <w:tcW w:w="3000" w:type="dxa"/>
          </w:tcPr>
          <w:p>
            <w:pPr>
              <w:pStyle w:val="TableText"/>
            </w:pPr>
            <w:r>
              <w:t xml:space="preserve">Benefit from more informed buyers.</w:t>
            </w:r>
          </w:p>
        </w:tc>
      </w:tr>
      <w:tr>
        <w:tc>
          <w:tcPr>
            <w:shd w:fill="FFFFFF"/>
            <w:tcW w:w="3000" w:type="dxa"/>
          </w:tcPr>
          <w:p>
            <w:pPr>
              <w:pStyle w:val="TableText"/>
            </w:pPr>
            <w:r>
              <w:t xml:space="preserve">Project Phronesis</w:t>
            </w:r>
          </w:p>
        </w:tc>
        <w:tc>
          <w:tcPr>
            <w:shd w:fill="FFFFFF"/>
            <w:tcW w:w="3000" w:type="dxa"/>
          </w:tcPr>
          <w:p>
            <w:pPr>
              <w:pStyle w:val="TableText"/>
            </w:pPr>
            <w:r>
              <w:t xml:space="preserve">Supports marketplace activity without becoming a marketplace.</w:t>
            </w:r>
          </w:p>
        </w:tc>
      </w:tr>
    </w:tbl>
    <w:p>
      <w:pPr>
        <w:pStyle w:val="BodyText"/>
      </w:pPr>
      <w:r>
        <w:t xml:space="preserve">Affiliate participation should not be interpreted as a request for API access or as implying that affiliate participation grants API access.</w:t>
      </w:r>
    </w:p>
    <w:p>
      <w:r>
        <w:br w:type="page"/>
      </w:r>
    </w:p>
    <w:p>
      <w:pPr>
        <w:pStyle w:val="Heading1"/>
      </w:pPr>
      <w:r>
        <w:t xml:space="preserve">What Project Phronesis Is Not</w:t>
      </w:r>
    </w:p>
    <w:p>
      <w:pPr>
        <w:pStyle w:val="Callout"/>
      </w:pPr>
      <w:r>
        <w:t xml:space="preserve">Project Phronesis is designed for decision support and marketplace enablement.</w:t>
      </w:r>
    </w:p>
    <w:tbl>
      <w:tblPr>
        <w:tblStyle w:val="TableGrid"/>
        <w:tblW w:w="0" w:type="auto"/>
        <w:tblBorders>
          <w:top w:val="single" w:sz="2" w:color="E5E7EB"/>
          <w:left w:val="single" w:sz="2" w:color="E5E7EB"/>
          <w:bottom w:val="single" w:sz="2" w:color="E5E7EB"/>
          <w:right w:val="single" w:sz="2" w:color="E5E7EB"/>
          <w:insideH w:val="single" w:sz="2" w:color="E5E7EB"/>
          <w:insideV w:val="single" w:sz="2" w:color="E5E7EB"/>
        </w:tblBorders>
      </w:tblPr>
      <w:tr>
        <w:tc>
          <w:tcPr>
            <w:shd w:fill="F7F4EE"/>
            <w:tcW w:w="3000" w:type="dxa"/>
          </w:tcPr>
          <w:p>
            <w:pPr>
              <w:pStyle w:val="TableHeader"/>
            </w:pPr>
            <w:r>
              <w:t xml:space="preserve">Not This</w:t>
            </w:r>
          </w:p>
        </w:tc>
        <w:tc>
          <w:tcPr>
            <w:shd w:fill="F7F4EE"/>
            <w:tcW w:w="3000" w:type="dxa"/>
          </w:tcPr>
          <w:p>
            <w:pPr>
              <w:pStyle w:val="TableHeader"/>
            </w:pPr>
            <w:r>
              <w:t xml:space="preserve">Instead</w:t>
            </w:r>
          </w:p>
        </w:tc>
      </w:tr>
      <w:tr>
        <w:tc>
          <w:tcPr>
            <w:shd w:fill="FFFFFF"/>
            <w:tcW w:w="3000" w:type="dxa"/>
          </w:tcPr>
          <w:p>
            <w:pPr>
              <w:pStyle w:val="TableText"/>
            </w:pPr>
            <w:r>
              <w:t xml:space="preserve">Competing marketplace</w:t>
            </w:r>
          </w:p>
        </w:tc>
        <w:tc>
          <w:tcPr>
            <w:shd w:fill="FFFFFF"/>
            <w:tcW w:w="3000" w:type="dxa"/>
          </w:tcPr>
          <w:p>
            <w:pPr>
              <w:pStyle w:val="TableText"/>
            </w:pPr>
            <w:r>
              <w:t xml:space="preserve">Marketplace enablement</w:t>
            </w:r>
          </w:p>
        </w:tc>
      </w:tr>
      <w:tr>
        <w:tc>
          <w:tcPr>
            <w:shd w:fill="FFFFFF"/>
            <w:tcW w:w="3000" w:type="dxa"/>
          </w:tcPr>
          <w:p>
            <w:pPr>
              <w:pStyle w:val="TableText"/>
            </w:pPr>
            <w:r>
              <w:t xml:space="preserve">Scraping service</w:t>
            </w:r>
          </w:p>
        </w:tc>
        <w:tc>
          <w:tcPr>
            <w:shd w:fill="FFFFFF"/>
            <w:tcW w:w="3000" w:type="dxa"/>
          </w:tcPr>
          <w:p>
            <w:pPr>
              <w:pStyle w:val="TableText"/>
            </w:pPr>
            <w:r>
              <w:t xml:space="preserve">Responsible integration</w:t>
            </w:r>
          </w:p>
        </w:tc>
      </w:tr>
      <w:tr>
        <w:tc>
          <w:tcPr>
            <w:shd w:fill="FFFFFF"/>
            <w:tcW w:w="3000" w:type="dxa"/>
          </w:tcPr>
          <w:p>
            <w:pPr>
              <w:pStyle w:val="TableText"/>
            </w:pPr>
            <w:r>
              <w:t xml:space="preserve">Automated purchasing bot</w:t>
            </w:r>
          </w:p>
        </w:tc>
        <w:tc>
          <w:tcPr>
            <w:shd w:fill="FFFFFF"/>
            <w:tcW w:w="3000" w:type="dxa"/>
          </w:tcPr>
          <w:p>
            <w:pPr>
              <w:pStyle w:val="TableText"/>
            </w:pPr>
            <w:r>
              <w:t xml:space="preserve">Decision support</w:t>
            </w:r>
          </w:p>
        </w:tc>
      </w:tr>
      <w:tr>
        <w:tc>
          <w:tcPr>
            <w:shd w:fill="FFFFFF"/>
            <w:tcW w:w="3000" w:type="dxa"/>
          </w:tcPr>
          <w:p>
            <w:pPr>
              <w:pStyle w:val="TableText"/>
            </w:pPr>
            <w:r>
              <w:t xml:space="preserve">Price manipulation platform</w:t>
            </w:r>
          </w:p>
        </w:tc>
        <w:tc>
          <w:tcPr>
            <w:shd w:fill="FFFFFF"/>
            <w:tcW w:w="3000" w:type="dxa"/>
          </w:tcPr>
          <w:p>
            <w:pPr>
              <w:pStyle w:val="TableText"/>
            </w:pPr>
            <w:r>
              <w:t xml:space="preserve">Market education</w:t>
            </w:r>
          </w:p>
        </w:tc>
      </w:tr>
      <w:tr>
        <w:tc>
          <w:tcPr>
            <w:shd w:fill="FFFFFF"/>
            <w:tcW w:w="3000" w:type="dxa"/>
          </w:tcPr>
          <w:p>
            <w:pPr>
              <w:pStyle w:val="TableText"/>
            </w:pPr>
            <w:r>
              <w:t xml:space="preserve">Alternative marketplace</w:t>
            </w:r>
          </w:p>
        </w:tc>
        <w:tc>
          <w:tcPr>
            <w:shd w:fill="FFFFFF"/>
            <w:tcW w:w="3000" w:type="dxa"/>
          </w:tcPr>
          <w:p>
            <w:pPr>
              <w:pStyle w:val="TableText"/>
            </w:pPr>
            <w:r>
              <w:t xml:space="preserve">Workflow automation</w:t>
            </w:r>
          </w:p>
        </w:tc>
      </w:tr>
    </w:tbl>
    <w:p>
      <w:pPr>
        <w:pStyle w:val="BodyText"/>
      </w:pPr>
      <w:r>
        <w:t xml:space="preserve">Project Phronesis is intended to support decision support, market education, workflow automation, and marketplace enablement.</w:t>
      </w:r>
    </w:p>
    <w:p>
      <w:r>
        <w:br w:type="page"/>
      </w:r>
    </w:p>
    <w:p>
      <w:pPr>
        <w:pStyle w:val="Heading1"/>
      </w:pPr>
      <w:r>
        <w:t xml:space="preserve">Long-Term Partnership Vision</w:t>
      </w:r>
    </w:p>
    <w:p>
      <w:pPr>
        <w:pStyle w:val="Callout"/>
      </w:pPr>
      <w:r>
        <w:t xml:space="preserve">A successful relationship would help users become better prepared when they reach TCGplayer.</w:t>
      </w:r>
    </w:p>
    <w:p>
      <w:pPr>
        <w:pStyle w:val="BodyText"/>
      </w:pPr>
      <w:r>
        <w:t xml:space="preserve">Project Phronesis seeks a long-term collaboration that improves marketplace participation, marketplace confidence, marketplace education, marketplace transparency, collector experience, and vendor efficiency.</w:t>
      </w:r>
    </w:p>
    <w:p>
      <w:pPr>
        <w:pStyle w:val="BodyText"/>
      </w:pPr>
      <w:r>
        <w:t xml:space="preserve">A successful relationship would not require TCGplayer to change its role as a marketplace. It would help users become better prepared when they reach that marketplace.</w:t>
      </w:r>
    </w:p>
    <w:p>
      <w:pPr>
        <w:pStyle w:val="Heading2"/>
      </w:pPr>
      <w:r>
        <w:t xml:space="preserve">Partnership Opportunity</w:t>
      </w:r>
    </w:p>
    <w:p>
      <w:pPr>
        <w:pStyle w:val="Diagram"/>
      </w:pPr>
      <w:r>
        <w:t xml:space="preserve">Better Context   -&gt; Better Decisions   -&gt; Higher-Intent Marketplace Activity   -&gt; Stronger Ecosystem Participation</w:t>
      </w:r>
    </w:p>
    <w:p>
      <w:r>
        <w:br w:type="page"/>
      </w:r>
    </w:p>
    <w:p>
      <w:pPr>
        <w:pStyle w:val="Heading1"/>
      </w:pPr>
      <w:r>
        <w:t xml:space="preserve">Call To Conversation</w:t>
      </w:r>
    </w:p>
    <w:p>
      <w:pPr>
        <w:pStyle w:val="Callout"/>
      </w:pPr>
      <w:r>
        <w:t xml:space="preserve">The requested next step is a discussion, not access.</w:t>
      </w:r>
    </w:p>
    <w:p>
      <w:pPr>
        <w:pStyle w:val="BodyText"/>
      </w:pPr>
      <w:r>
        <w:t xml:space="preserve">Useful discussion topics could include:</w:t>
      </w:r>
    </w:p>
    <w:p>
      <w:pPr>
        <w:pStyle w:val="BodyText"/>
      </w:pPr>
      <w:r>
        <w:t xml:space="preserve">• Whether TCGplayer sees value in decision support that guides informed users toward marketplace participation.</w:t>
      </w:r>
    </w:p>
    <w:p>
      <w:pPr>
        <w:pStyle w:val="BodyText"/>
      </w:pPr>
      <w:r>
        <w:t xml:space="preserve">• Whether affiliate alignment is an appropriate early collaboration path.</w:t>
      </w:r>
    </w:p>
    <w:p>
      <w:pPr>
        <w:pStyle w:val="BodyText"/>
      </w:pPr>
      <w:r>
        <w:t xml:space="preserve">• What responsible integration expectations TCGplayer would want a future partner to follow.</w:t>
      </w:r>
    </w:p>
    <w:p>
      <w:pPr>
        <w:pStyle w:val="BodyText"/>
      </w:pPr>
      <w:r>
        <w:t xml:space="preserve">• Which user workflows would create the most constructive marketplace value.</w:t>
      </w:r>
    </w:p>
    <w:p>
      <w:pPr>
        <w:pStyle w:val="BodyText"/>
      </w:pPr>
      <w:r>
        <w:t xml:space="preserve">• What information should remain public, partner-limited, or confidential in future conversations.</w:t>
      </w:r>
    </w:p>
    <w:p>
      <w:r>
        <w:br w:type="page"/>
      </w:r>
    </w:p>
    <w:p>
      <w:pPr>
        <w:pStyle w:val="Heading1"/>
      </w:pPr>
      <w:r>
        <w:t xml:space="preserve">Platform Snapshot</w:t>
      </w:r>
    </w:p>
    <w:p>
      <w:pPr>
        <w:pStyle w:val="Diagram"/>
      </w:pPr>
      <w:r>
        <w:t xml:space="preserve">Identity   -&gt; Knowledge   -&gt; Eligibility   -&gt; Providers   -&gt; Replay   -&gt; Repository   -&gt; Market Intelligence   -&gt; Assessment   -&gt; Strategy   -&gt; Negotiation   -&gt; Decision</w:t>
      </w:r>
    </w:p>
    <w:p>
      <w:pPr>
        <w:pStyle w:val="BodyText"/>
      </w:pPr>
      <w:r>
        <w:t xml:space="preserve">This is a clean architecture orientation only. It does not disclose implementation details.</w:t>
      </w:r>
    </w:p>
    <w:tbl>
      <w:tblPr>
        <w:tblStyle w:val="TableGrid"/>
        <w:tblW w:w="0" w:type="auto"/>
        <w:tblBorders>
          <w:top w:val="single" w:sz="2" w:color="E5E7EB"/>
          <w:left w:val="single" w:sz="2" w:color="E5E7EB"/>
          <w:bottom w:val="single" w:sz="2" w:color="E5E7EB"/>
          <w:right w:val="single" w:sz="2" w:color="E5E7EB"/>
          <w:insideH w:val="single" w:sz="2" w:color="E5E7EB"/>
          <w:insideV w:val="single" w:sz="2" w:color="E5E7EB"/>
        </w:tblBorders>
      </w:tblPr>
      <w:tr>
        <w:tc>
          <w:tcPr>
            <w:shd w:fill="F7F4EE"/>
            <w:tcW w:w="3000" w:type="dxa"/>
          </w:tcPr>
          <w:p>
            <w:pPr>
              <w:pStyle w:val="TableHeader"/>
            </w:pPr>
            <w:r>
              <w:t xml:space="preserve">Layer</w:t>
            </w:r>
          </w:p>
        </w:tc>
        <w:tc>
          <w:tcPr>
            <w:shd w:fill="F7F4EE"/>
            <w:tcW w:w="3000" w:type="dxa"/>
          </w:tcPr>
          <w:p>
            <w:pPr>
              <w:pStyle w:val="TableHeader"/>
            </w:pPr>
            <w:r>
              <w:t xml:space="preserve">External Meaning</w:t>
            </w:r>
          </w:p>
        </w:tc>
      </w:tr>
      <w:tr>
        <w:tc>
          <w:tcPr>
            <w:shd w:fill="FFFFFF"/>
            <w:tcW w:w="3000" w:type="dxa"/>
          </w:tcPr>
          <w:p>
            <w:pPr>
              <w:pStyle w:val="TableText"/>
            </w:pPr>
            <w:r>
              <w:t xml:space="preserve">Identity</w:t>
            </w:r>
          </w:p>
        </w:tc>
        <w:tc>
          <w:tcPr>
            <w:shd w:fill="FFFFFF"/>
            <w:tcW w:w="3000" w:type="dxa"/>
          </w:tcPr>
          <w:p>
            <w:pPr>
              <w:pStyle w:val="TableText"/>
            </w:pPr>
            <w:r>
              <w:t xml:space="preserve">Understand what asset the user is asking about.</w:t>
            </w:r>
          </w:p>
        </w:tc>
      </w:tr>
      <w:tr>
        <w:tc>
          <w:tcPr>
            <w:shd w:fill="FFFFFF"/>
            <w:tcW w:w="3000" w:type="dxa"/>
          </w:tcPr>
          <w:p>
            <w:pPr>
              <w:pStyle w:val="TableText"/>
            </w:pPr>
            <w:r>
              <w:t xml:space="preserve">Knowledge</w:t>
            </w:r>
          </w:p>
        </w:tc>
        <w:tc>
          <w:tcPr>
            <w:shd w:fill="FFFFFF"/>
            <w:tcW w:w="3000" w:type="dxa"/>
          </w:tcPr>
          <w:p>
            <w:pPr>
              <w:pStyle w:val="TableText"/>
            </w:pPr>
            <w:r>
              <w:t xml:space="preserve">Preserve collectible-market context.</w:t>
            </w:r>
          </w:p>
        </w:tc>
      </w:tr>
      <w:tr>
        <w:tc>
          <w:tcPr>
            <w:shd w:fill="FFFFFF"/>
            <w:tcW w:w="3000" w:type="dxa"/>
          </w:tcPr>
          <w:p>
            <w:pPr>
              <w:pStyle w:val="TableText"/>
            </w:pPr>
            <w:r>
              <w:t xml:space="preserve">Eligibility</w:t>
            </w:r>
          </w:p>
        </w:tc>
        <w:tc>
          <w:tcPr>
            <w:shd w:fill="FFFFFF"/>
            <w:tcW w:w="3000" w:type="dxa"/>
          </w:tcPr>
          <w:p>
            <w:pPr>
              <w:pStyle w:val="TableText"/>
            </w:pPr>
            <w:r>
              <w:t xml:space="preserve">Match assets to supported workflows.</w:t>
            </w:r>
          </w:p>
        </w:tc>
      </w:tr>
      <w:tr>
        <w:tc>
          <w:tcPr>
            <w:shd w:fill="FFFFFF"/>
            <w:tcW w:w="3000" w:type="dxa"/>
          </w:tcPr>
          <w:p>
            <w:pPr>
              <w:pStyle w:val="TableText"/>
            </w:pPr>
            <w:r>
              <w:t xml:space="preserve">Providers</w:t>
            </w:r>
          </w:p>
        </w:tc>
        <w:tc>
          <w:tcPr>
            <w:shd w:fill="FFFFFF"/>
            <w:tcW w:w="3000" w:type="dxa"/>
          </w:tcPr>
          <w:p>
            <w:pPr>
              <w:pStyle w:val="TableText"/>
            </w:pPr>
            <w:r>
              <w:t xml:space="preserve">Bring in external market observations where appropriate.</w:t>
            </w:r>
          </w:p>
        </w:tc>
      </w:tr>
      <w:tr>
        <w:tc>
          <w:tcPr>
            <w:shd w:fill="FFFFFF"/>
            <w:tcW w:w="3000" w:type="dxa"/>
          </w:tcPr>
          <w:p>
            <w:pPr>
              <w:pStyle w:val="TableText"/>
            </w:pPr>
            <w:r>
              <w:t xml:space="preserve">Replay</w:t>
            </w:r>
          </w:p>
        </w:tc>
        <w:tc>
          <w:tcPr>
            <w:shd w:fill="FFFFFF"/>
            <w:tcW w:w="3000" w:type="dxa"/>
          </w:tcPr>
          <w:p>
            <w:pPr>
              <w:pStyle w:val="TableText"/>
            </w:pPr>
            <w:r>
              <w:t xml:space="preserve">Support responsible development activity.</w:t>
            </w:r>
          </w:p>
        </w:tc>
      </w:tr>
      <w:tr>
        <w:tc>
          <w:tcPr>
            <w:shd w:fill="FFFFFF"/>
            <w:tcW w:w="3000" w:type="dxa"/>
          </w:tcPr>
          <w:p>
            <w:pPr>
              <w:pStyle w:val="TableText"/>
            </w:pPr>
            <w:r>
              <w:t xml:space="preserve">Repository</w:t>
            </w:r>
          </w:p>
        </w:tc>
        <w:tc>
          <w:tcPr>
            <w:shd w:fill="FFFFFF"/>
            <w:tcW w:w="3000" w:type="dxa"/>
          </w:tcPr>
          <w:p>
            <w:pPr>
              <w:pStyle w:val="TableText"/>
            </w:pPr>
            <w:r>
              <w:t xml:space="preserve">Reuse prior work where appropriate.</w:t>
            </w:r>
          </w:p>
        </w:tc>
      </w:tr>
      <w:tr>
        <w:tc>
          <w:tcPr>
            <w:shd w:fill="FFFFFF"/>
            <w:tcW w:w="3000" w:type="dxa"/>
          </w:tcPr>
          <w:p>
            <w:pPr>
              <w:pStyle w:val="TableText"/>
            </w:pPr>
            <w:r>
              <w:t xml:space="preserve">Market Intelligence</w:t>
            </w:r>
          </w:p>
        </w:tc>
        <w:tc>
          <w:tcPr>
            <w:shd w:fill="FFFFFF"/>
            <w:tcW w:w="3000" w:type="dxa"/>
          </w:tcPr>
          <w:p>
            <w:pPr>
              <w:pStyle w:val="TableText"/>
            </w:pPr>
            <w:r>
              <w:t xml:space="preserve">Organize market context for user decisions.</w:t>
            </w:r>
          </w:p>
        </w:tc>
      </w:tr>
      <w:tr>
        <w:tc>
          <w:tcPr>
            <w:shd w:fill="FFFFFF"/>
            <w:tcW w:w="3000" w:type="dxa"/>
          </w:tcPr>
          <w:p>
            <w:pPr>
              <w:pStyle w:val="TableText"/>
            </w:pPr>
            <w:r>
              <w:t xml:space="preserve">Assessment</w:t>
            </w:r>
          </w:p>
        </w:tc>
        <w:tc>
          <w:tcPr>
            <w:shd w:fill="FFFFFF"/>
            <w:tcW w:w="3000" w:type="dxa"/>
          </w:tcPr>
          <w:p>
            <w:pPr>
              <w:pStyle w:val="TableText"/>
            </w:pPr>
            <w:r>
              <w:t xml:space="preserve">Help interpret asset quality and risk.</w:t>
            </w:r>
          </w:p>
        </w:tc>
      </w:tr>
      <w:tr>
        <w:tc>
          <w:tcPr>
            <w:shd w:fill="FFFFFF"/>
            <w:tcW w:w="3000" w:type="dxa"/>
          </w:tcPr>
          <w:p>
            <w:pPr>
              <w:pStyle w:val="TableText"/>
            </w:pPr>
            <w:r>
              <w:t xml:space="preserve">Strategy</w:t>
            </w:r>
          </w:p>
        </w:tc>
        <w:tc>
          <w:tcPr>
            <w:shd w:fill="FFFFFF"/>
            <w:tcW w:w="3000" w:type="dxa"/>
          </w:tcPr>
          <w:p>
            <w:pPr>
              <w:pStyle w:val="TableText"/>
            </w:pPr>
            <w:r>
              <w:t xml:space="preserve">Connect intelligence to user goals.</w:t>
            </w:r>
          </w:p>
        </w:tc>
      </w:tr>
      <w:tr>
        <w:tc>
          <w:tcPr>
            <w:shd w:fill="FFFFFF"/>
            <w:tcW w:w="3000" w:type="dxa"/>
          </w:tcPr>
          <w:p>
            <w:pPr>
              <w:pStyle w:val="TableText"/>
            </w:pPr>
            <w:r>
              <w:t xml:space="preserve">Negotiation</w:t>
            </w:r>
          </w:p>
        </w:tc>
        <w:tc>
          <w:tcPr>
            <w:shd w:fill="FFFFFF"/>
            <w:tcW w:w="3000" w:type="dxa"/>
          </w:tcPr>
          <w:p>
            <w:pPr>
              <w:pStyle w:val="TableText"/>
            </w:pPr>
            <w:r>
              <w:t xml:space="preserve">Support practical buying conversations.</w:t>
            </w:r>
          </w:p>
        </w:tc>
      </w:tr>
      <w:tr>
        <w:tc>
          <w:tcPr>
            <w:shd w:fill="FFFFFF"/>
            <w:tcW w:w="3000" w:type="dxa"/>
          </w:tcPr>
          <w:p>
            <w:pPr>
              <w:pStyle w:val="TableText"/>
            </w:pPr>
            <w:r>
              <w:t xml:space="preserve">Decision</w:t>
            </w:r>
          </w:p>
        </w:tc>
        <w:tc>
          <w:tcPr>
            <w:shd w:fill="FFFFFF"/>
            <w:tcW w:w="3000" w:type="dxa"/>
          </w:tcPr>
          <w:p>
            <w:pPr>
              <w:pStyle w:val="TableText"/>
            </w:pPr>
            <w:r>
              <w:t xml:space="preserve">Help users decide what to do next.</w:t>
            </w:r>
          </w:p>
        </w:tc>
      </w:tr>
    </w:tbl>
    <w:p>
      <w:r>
        <w:br w:type="page"/>
      </w:r>
    </w:p>
    <w:p>
      <w:pPr>
        <w:pStyle w:val="Heading1"/>
      </w:pPr>
      <w:r>
        <w:t xml:space="preserve">Appendix</w:t>
      </w:r>
    </w:p>
    <w:p>
      <w:pPr>
        <w:pStyle w:val="Heading2"/>
      </w:pPr>
      <w:r>
        <w:t xml:space="preserve">Information Boundaries</w:t>
      </w:r>
    </w:p>
    <w:p>
      <w:pPr>
        <w:pStyle w:val="BodyText"/>
      </w:pPr>
      <w:r>
        <w:t xml:space="preserve">This proposal discusses vision, mission, business philosophy, responsible data usage, community value, marketplace alignment, and future workflow direction.</w:t>
      </w:r>
    </w:p>
    <w:p>
      <w:pPr>
        <w:pStyle w:val="BodyText"/>
      </w:pPr>
      <w:r>
        <w:t xml:space="preserve">This proposal does not disclose internal decision methods, evaluation methodology, weighting or ranking systems, sensitive data assets, proprietary reasoning systems, or internal implementation details.</w:t>
      </w:r>
    </w:p>
    <w:p>
      <w:pPr>
        <w:pStyle w:val="Heading2"/>
      </w:pPr>
      <w:r>
        <w:t xml:space="preserve">Reuse Guidance</w:t>
      </w:r>
    </w:p>
    <w:p>
      <w:pPr>
        <w:pStyle w:val="BodyText"/>
      </w:pPr>
      <w:r>
        <w:t xml:space="preserve">Future proposals for PSA, Cardmarket, Beckett, eBay, investors, distributors, publishers, and additional strategic partners should reuse the same corporate proposal template while adapting the ecosystem value narrative to the specific audience.</w:t>
      </w:r>
    </w:p>
    <w:sectPr>
      <w:headerReference w:type="default" r:id="rIdHeader1"/>
      <w:footerReference w:type="default" r:id="rIdFooter1"/>
      <w:pgSz w:w="12240" w:h="15840"/>
      <w:pgMar w:top="1080" w:right="1080" w:bottom="1080" w:left="1080" w:header="540" w:footer="540"/>
    </w:sectPr>
  </w:body>
</w:document>
</file>

<file path=word/footer1.xml><?xml version="1.0" encoding="utf-8"?>
<w:ftr xmlns:w="http://schemas.openxmlformats.org/wordprocessingml/2006/main">
  <w:p>
    <w:pPr>
      <w:jc w:val="center"/>
    </w:pPr>
    <w:r>
      <w:t>Project Phronesis | Confidential | Page </w:t>
    </w:r>
    <w:r>
      <w:fldChar w:fldCharType="begin"/>
    </w:r>
    <w:r>
      <w:instrText> PAGE </w:instrText>
    </w:r>
    <w:r>
      <w:fldChar w:fldCharType="end"/>
    </w:r>
    <w:r>
      <w:t> of </w:t>
    </w:r>
    <w:r>
      <w:fldChar w:fldCharType="begin"/>
    </w:r>
    <w:r>
      <w:instrText> NUMPAGES </w:instrText>
    </w:r>
    <w:r>
      <w:fldChar w:fldCharType="end"/>
    </w:r>
  </w:p>
</w:ftr>
</file>

<file path=word/header1.xml><?xml version="1.0" encoding="utf-8"?>
<w:hdr xmlns:w="http://schemas.openxmlformats.org/wordprocessingml/2006/main">
  <w:p>
    <w:r>
      <w:t>[Logo] Project Phronesis | TCGplayer Ecosystem Partnership Proposal</w:t>
    </w:r>
  </w:p>
  <w:p>
    <w:pPr>
      <w:pBdr>
        <w:bottom w:val="single" w:sz="4" w:space="1" w:color="C6A15B"/>
      </w:pBdr>
    </w:pPr>
  </w:p>
</w:hdr>
</file>

<file path=word/styles.xml><?xml version="1.0" encoding="utf-8"?>
<w:styles xmlns:w="http://schemas.openxmlformats.org/wordprocessingml/2006/main">
  <w:style w:type="paragraph" w:styleId="Normal">
    <w:name w:val="Normal"/>
    <w:rPr>
      <w:rFonts w:ascii="Inter" w:hAnsi="Inter"/>
      <w:color w:val="0B1F33"/>
      <w:sz w:val="21"/>
    </w:rPr>
  </w:style>
  <w:style w:type="paragraph" w:styleId="CoverTitle">
    <w:name w:val="Cover Title"/>
    <w:pPr>
      <w:jc w:val="center"/>
      <w:spacing w:before="1100" w:after="220"/>
    </w:pPr>
    <w:rPr>
      <w:rFonts w:ascii="Cinzel" w:hAnsi="Cinzel"/>
      <w:b/>
      <w:color w:val="0B1F33"/>
      <w:sz w:val="42"/>
    </w:rPr>
  </w:style>
  <w:style w:type="paragraph" w:styleId="CoverSubtitle">
    <w:name w:val="Cover Subtitle"/>
    <w:pPr>
      <w:jc w:val="center"/>
      <w:spacing w:after="760"/>
    </w:pPr>
    <w:rPr>
      <w:rFonts w:ascii="Inter" w:hAnsi="Inter"/>
      <w:color w:val="C6A15B"/>
      <w:sz w:val="24"/>
    </w:rPr>
  </w:style>
  <w:style w:type="paragraph" w:styleId="CoverDocTitle">
    <w:name w:val="Cover Document Title"/>
    <w:pPr>
      <w:jc w:val="center"/>
      <w:spacing w:after="680"/>
    </w:pPr>
    <w:rPr>
      <w:rFonts w:ascii="Cinzel" w:hAnsi="Cinzel"/>
      <w:b/>
      <w:color w:val="0B1F33"/>
      <w:sz w:val="32"/>
    </w:rPr>
  </w:style>
  <w:style w:type="paragraph" w:styleId="CoverMeta">
    <w:name w:val="Cover Metadata"/>
    <w:pPr>
      <w:jc w:val="center"/>
      <w:spacing w:after="180"/>
    </w:pPr>
    <w:rPr>
      <w:rFonts w:ascii="Inter" w:hAnsi="Inter"/>
      <w:color w:val="5D6B7A"/>
      <w:sz w:val="20"/>
    </w:rPr>
  </w:style>
  <w:style w:type="paragraph" w:styleId="Heading1">
    <w:name w:val="Heading 1"/>
    <w:pPr>
      <w:spacing w:before="120" w:after="300"/>
    </w:pPr>
    <w:rPr>
      <w:rFonts w:ascii="Cinzel" w:hAnsi="Cinzel"/>
      <w:b/>
      <w:color w:val="0B1F33"/>
      <w:sz w:val="34"/>
    </w:rPr>
  </w:style>
  <w:style w:type="paragraph" w:styleId="Heading2">
    <w:name w:val="Heading 2"/>
    <w:pPr>
      <w:spacing w:before="280" w:after="140"/>
    </w:pPr>
    <w:rPr>
      <w:rFonts w:ascii="Inter" w:hAnsi="Inter"/>
      <w:b/>
      <w:color w:val="0B1F33"/>
      <w:sz w:val="22"/>
    </w:rPr>
  </w:style>
  <w:style w:type="paragraph" w:styleId="BodyText">
    <w:name w:val="Body Text"/>
    <w:pPr>
      <w:spacing w:after="170" w:line="330" w:lineRule="auto"/>
    </w:pPr>
    <w:rPr>
      <w:rFonts w:ascii="Inter" w:hAnsi="Inter"/>
      <w:color w:val="0B1F33"/>
      <w:sz w:val="21"/>
    </w:rPr>
  </w:style>
  <w:style w:type="paragraph" w:styleId="Callout">
    <w:name w:val="Callout"/>
    <w:pPr>
      <w:shd w:fill="F7F4EE"/>
      <w:spacing w:before="160" w:after="260" w:line="360" w:lineRule="auto"/>
    </w:pPr>
    <w:rPr>
      <w:rFonts w:ascii="Inter" w:hAnsi="Inter"/>
      <w:b/>
      <w:color w:val="0B1F33"/>
      <w:sz w:val="24"/>
    </w:rPr>
  </w:style>
  <w:style w:type="paragraph" w:styleId="Diagram">
    <w:name w:val="Diagram"/>
    <w:pPr>
      <w:jc w:val="center"/>
      <w:shd w:fill="F7F4EE"/>
      <w:spacing w:before="180" w:after="240"/>
    </w:pPr>
    <w:rPr>
      <w:rFonts w:ascii="Inter" w:hAnsi="Inter"/>
      <w:color w:val="0B1F33"/>
      <w:sz w:val="19"/>
    </w:rPr>
  </w:style>
  <w:style w:type="paragraph" w:styleId="TableHeader">
    <w:name w:val="Table Header"/>
    <w:rPr>
      <w:rFonts w:ascii="Inter" w:hAnsi="Inter"/>
      <w:b/>
      <w:color w:val="0B1F33"/>
      <w:sz w:val="18"/>
    </w:rPr>
  </w:style>
  <w:style w:type="paragraph" w:styleId="TableText">
    <w:name w:val="Table Text"/>
    <w:pPr>
      <w:spacing w:after="80"/>
    </w:pPr>
    <w:rPr>
      <w:rFonts w:ascii="Inter" w:hAnsi="Inter"/>
      <w:color w:val="0B1F33"/>
      <w:sz w:val="18"/>
    </w:rPr>
  </w:style>
</w:styles>
</file>

<file path=word/_rels/document.xml.rels><?xml version="1.0" encoding="UTF-8" standalone="yes"?><Relationships xmlns="http://schemas.openxmlformats.org/package/2006/relationships"><Relationship Id="rIdHeader1" Type="http://schemas.openxmlformats.org/officeDocument/2006/relationships/header" Target="header1.xml"/><Relationship Id="rIdFooter1" Type="http://schemas.openxmlformats.org/officeDocument/2006/relationships/footer" Target="footer1.xml"/></Relationships>
</file>