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49A3A"/>
          <w:sz w:val="22"/>
        </w:rPr>
        <w:t>RH DIGITAL AGENCY</w:t>
      </w:r>
    </w:p>
    <w:p>
      <w:pPr>
        <w:spacing w:before="840"/>
        <w:jc w:val="center"/>
      </w:pPr>
      <w:r>
        <w:rPr>
          <w:rFonts w:ascii="Aptos Display" w:hAnsi="Aptos Display"/>
          <w:b/>
          <w:color w:val="111827"/>
          <w:sz w:val="54"/>
        </w:rPr>
        <w:t>RH Agentic Operations</w:t>
      </w:r>
    </w:p>
    <w:p>
      <w:pPr>
        <w:jc w:val="center"/>
      </w:pPr>
      <w:r>
        <w:rPr>
          <w:color w:val="475569"/>
          <w:sz w:val="24"/>
        </w:rPr>
        <w:t>Strategic Execution Plan — business model, productization, go-to-market and scale</w:t>
      </w:r>
    </w:p>
    <w:p>
      <w:pPr>
        <w:spacing w:before="520"/>
        <w:jc w:val="center"/>
      </w:pPr>
      <w:r>
        <w:rPr>
          <w:color w:val="475569"/>
          <w:sz w:val="17"/>
        </w:rPr>
        <w:t>Internal strategy document · Version 1.0 · 20 October 2026</w:t>
      </w:r>
    </w:p>
    <w:p>
      <w:pPr>
        <w:spacing w:before="560"/>
        <w:jc w:val="center"/>
      </w:pPr>
      <w:r>
        <w:rPr>
          <w:color w:val="C49A3A"/>
        </w:rPr>
        <w:t>━━━━━━━━━━━━━━━━━━━━━━━━━━━━━━━━━━</w:t>
      </w:r>
    </w:p>
    <w:p>
      <w:r>
        <w:br w:type="page"/>
      </w:r>
    </w:p>
    <w:p>
      <w:pPr>
        <w:pStyle w:val="Heading1"/>
      </w:pPr>
      <w:r>
        <w:t>1. Executive decision</w:t>
      </w:r>
    </w:p>
    <w:p>
      <w:r>
        <w:t>RH Agentic Operations becomes an immediate commercial priority inside RH Digital Agency. It is not positioned as generic “AI automation” or as installation of a specific model. RH sells operational redesign plus implementation of agentic capacity: mapping work, simplifying processes, deciding what stays human, and deploying agents with controls and measurable outcomes.</w:t>
      </w:r>
    </w:p>
    <w:tbl>
      <w:tblPr>
        <w:tblW w:type="auto" w:w="0"/>
        <w:jc w:val="center"/>
        <w:tblLook w:firstColumn="1" w:firstRow="1" w:lastColumn="0" w:lastRow="0" w:noHBand="0" w:noVBand="1" w:val="04A0"/>
      </w:tblPr>
      <w:tblGrid>
        <w:gridCol w:w="10166"/>
      </w:tblGrid>
      <w:tr>
        <w:tc>
          <w:tcPr>
            <w:tcW w:type="dxa" w:w="10166"/>
            <w:shd w:fill="F1F5F9"/>
            <w:tcMar>
              <w:top w:w="140" w:type="dxa"/>
              <w:start w:w="170" w:type="dxa"/>
              <w:bottom w:w="140" w:type="dxa"/>
              <w:end w:w="170" w:type="dxa"/>
            </w:tcMar>
          </w:tcPr>
          <w:p>
            <w:r>
              <w:rPr>
                <w:b/>
                <w:color w:val="111827"/>
                <w:sz w:val="20"/>
              </w:rPr>
              <w:t>Core positioning</w:t>
              <w:br/>
            </w:r>
            <w:r>
              <w:rPr>
                <w:sz w:val="18"/>
              </w:rPr>
              <w:t>RH redesigns internal business processes and deploys teams of AI agents to absorb repeatable operational work, monitor execution and increase business capacity. Professional judgment stays human; operational execution can become agentic.</w:t>
            </w:r>
          </w:p>
        </w:tc>
      </w:tr>
    </w:tbl>
    <w:p>
      <w:pPr>
        <w:spacing w:after="20"/>
      </w:pPr>
    </w:p>
    <w:p>
      <w:r>
        <w:t>This line coexists with traditional RH growth services and Growth Products. The goal is a full value ladder: low-ticket products for distribution and monetization, productized agentic starters for smaller businesses, paid audits, pilots, high-ticket deployments and recurring optimization.</w:t>
      </w:r>
    </w:p>
    <w:p>
      <w:pPr>
        <w:pStyle w:val="Heading1"/>
      </w:pPr>
      <w:r>
        <w:t>2. Strategic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7"/>
              </w:rPr>
              <w:t>Layer</w:t>
            </w:r>
          </w:p>
        </w:tc>
        <w:tc>
          <w:tcPr>
            <w:tcW w:type="dxa" w:w="3389"/>
            <w:shd w:fill="111827"/>
            <w:vAlign w:val="center"/>
            <w:tcMar>
              <w:top w:w="90" w:type="dxa"/>
              <w:start w:w="100" w:type="dxa"/>
              <w:bottom w:w="90" w:type="dxa"/>
              <w:end w:w="100" w:type="dxa"/>
            </w:tcMar>
          </w:tcPr>
          <w:p>
            <w:r>
              <w:rPr>
                <w:b/>
                <w:color w:val="FFFFFF"/>
                <w:sz w:val="17"/>
              </w:rPr>
              <w:t>Purpose</w:t>
            </w:r>
          </w:p>
        </w:tc>
        <w:tc>
          <w:tcPr>
            <w:tcW w:type="dxa" w:w="3389"/>
            <w:shd w:fill="111827"/>
            <w:vAlign w:val="center"/>
            <w:tcMar>
              <w:top w:w="90" w:type="dxa"/>
              <w:start w:w="100" w:type="dxa"/>
              <w:bottom w:w="90" w:type="dxa"/>
              <w:end w:w="100" w:type="dxa"/>
            </w:tcMar>
          </w:tcPr>
          <w:p>
            <w:r>
              <w:rPr>
                <w:b/>
                <w:color w:val="FFFFFF"/>
                <w:sz w:val="17"/>
              </w:rPr>
              <w:t>Typical offer</w:t>
            </w:r>
          </w:p>
        </w:tc>
      </w:tr>
      <w:tr>
        <w:tc>
          <w:tcPr>
            <w:tcW w:type="dxa" w:w="3389"/>
            <w:tcMar>
              <w:top w:w="90" w:type="dxa"/>
              <w:start w:w="100" w:type="dxa"/>
              <w:bottom w:w="90" w:type="dxa"/>
              <w:end w:w="100" w:type="dxa"/>
            </w:tcMar>
            <w:vAlign w:val="center"/>
          </w:tcPr>
          <w:p>
            <w:pPr>
              <w:spacing w:after="0"/>
            </w:pPr>
            <w:r>
              <w:rPr>
                <w:sz w:val="16"/>
              </w:rPr>
              <w:t>RH Digital Agency</w:t>
            </w:r>
          </w:p>
        </w:tc>
        <w:tc>
          <w:tcPr>
            <w:tcW w:type="dxa" w:w="3389"/>
            <w:tcMar>
              <w:top w:w="90" w:type="dxa"/>
              <w:start w:w="100" w:type="dxa"/>
              <w:bottom w:w="90" w:type="dxa"/>
              <w:end w:w="100" w:type="dxa"/>
            </w:tcMar>
            <w:vAlign w:val="center"/>
          </w:tcPr>
          <w:p>
            <w:pPr>
              <w:spacing w:after="0"/>
            </w:pPr>
            <w:r>
              <w:rPr>
                <w:sz w:val="16"/>
              </w:rPr>
              <w:t>Umbrella growth brand and distribution</w:t>
            </w:r>
          </w:p>
        </w:tc>
        <w:tc>
          <w:tcPr>
            <w:tcW w:type="dxa" w:w="3389"/>
            <w:tcMar>
              <w:top w:w="90" w:type="dxa"/>
              <w:start w:w="100" w:type="dxa"/>
              <w:bottom w:w="90" w:type="dxa"/>
              <w:end w:w="100" w:type="dxa"/>
            </w:tcMar>
            <w:vAlign w:val="center"/>
          </w:tcPr>
          <w:p>
            <w:pPr>
              <w:spacing w:after="0"/>
            </w:pPr>
            <w:r>
              <w:rPr>
                <w:sz w:val="16"/>
              </w:rPr>
              <w:t>Growth, automation, digital systems, Agentic Operations</w:t>
            </w:r>
          </w:p>
        </w:tc>
      </w:tr>
      <w:tr>
        <w:tc>
          <w:tcPr>
            <w:tcW w:type="dxa" w:w="3389"/>
            <w:tcMar>
              <w:top w:w="90" w:type="dxa"/>
              <w:start w:w="100" w:type="dxa"/>
              <w:bottom w:w="90" w:type="dxa"/>
              <w:end w:w="100" w:type="dxa"/>
            </w:tcMar>
            <w:vAlign w:val="center"/>
            <w:shd w:fill="F8FAFC"/>
          </w:tcPr>
          <w:p>
            <w:pPr>
              <w:spacing w:after="0"/>
            </w:pPr>
            <w:r>
              <w:rPr>
                <w:sz w:val="16"/>
              </w:rPr>
              <w:t>Growth Products</w:t>
            </w:r>
          </w:p>
        </w:tc>
        <w:tc>
          <w:tcPr>
            <w:tcW w:type="dxa" w:w="3389"/>
            <w:tcMar>
              <w:top w:w="90" w:type="dxa"/>
              <w:start w:w="100" w:type="dxa"/>
              <w:bottom w:w="90" w:type="dxa"/>
              <w:end w:w="100" w:type="dxa"/>
            </w:tcMar>
            <w:vAlign w:val="center"/>
            <w:shd w:fill="F8FAFC"/>
          </w:tcPr>
          <w:p>
            <w:pPr>
              <w:spacing w:after="0"/>
            </w:pPr>
            <w:r>
              <w:rPr>
                <w:sz w:val="16"/>
              </w:rPr>
              <w:t>Low-cost self-service acquisition layer</w:t>
            </w:r>
          </w:p>
        </w:tc>
        <w:tc>
          <w:tcPr>
            <w:tcW w:type="dxa" w:w="3389"/>
            <w:tcMar>
              <w:top w:w="90" w:type="dxa"/>
              <w:start w:w="100" w:type="dxa"/>
              <w:bottom w:w="90" w:type="dxa"/>
              <w:end w:w="100" w:type="dxa"/>
            </w:tcMar>
            <w:vAlign w:val="center"/>
            <w:shd w:fill="F8FAFC"/>
          </w:tcPr>
          <w:p>
            <w:pPr>
              <w:spacing w:after="0"/>
            </w:pPr>
            <w:r>
              <w:rPr>
                <w:sz w:val="16"/>
              </w:rPr>
              <w:t>$19–$99 tools, templates, systems and mini-courses</w:t>
            </w:r>
          </w:p>
        </w:tc>
      </w:tr>
      <w:tr>
        <w:tc>
          <w:tcPr>
            <w:tcW w:type="dxa" w:w="3389"/>
            <w:tcMar>
              <w:top w:w="90" w:type="dxa"/>
              <w:start w:w="100" w:type="dxa"/>
              <w:bottom w:w="90" w:type="dxa"/>
              <w:end w:w="100" w:type="dxa"/>
            </w:tcMar>
            <w:vAlign w:val="center"/>
          </w:tcPr>
          <w:p>
            <w:pPr>
              <w:spacing w:after="0"/>
            </w:pPr>
            <w:r>
              <w:rPr>
                <w:sz w:val="16"/>
              </w:rPr>
              <w:t>Agentic SMB</w:t>
            </w:r>
          </w:p>
        </w:tc>
        <w:tc>
          <w:tcPr>
            <w:tcW w:type="dxa" w:w="3389"/>
            <w:tcMar>
              <w:top w:w="90" w:type="dxa"/>
              <w:start w:w="100" w:type="dxa"/>
              <w:bottom w:w="90" w:type="dxa"/>
              <w:end w:w="100" w:type="dxa"/>
            </w:tcMar>
            <w:vAlign w:val="center"/>
          </w:tcPr>
          <w:p>
            <w:pPr>
              <w:spacing w:after="0"/>
            </w:pPr>
            <w:r>
              <w:rPr>
                <w:sz w:val="16"/>
              </w:rPr>
              <w:t>Productized implementation</w:t>
            </w:r>
          </w:p>
        </w:tc>
        <w:tc>
          <w:tcPr>
            <w:tcW w:type="dxa" w:w="3389"/>
            <w:tcMar>
              <w:top w:w="90" w:type="dxa"/>
              <w:start w:w="100" w:type="dxa"/>
              <w:bottom w:w="90" w:type="dxa"/>
              <w:end w:w="100" w:type="dxa"/>
            </w:tcMar>
            <w:vAlign w:val="center"/>
          </w:tcPr>
          <w:p>
            <w:pPr>
              <w:spacing w:after="0"/>
            </w:pPr>
            <w:r>
              <w:rPr>
                <w:sz w:val="16"/>
              </w:rPr>
              <w:t>$499–$1,500 starter systems</w:t>
            </w:r>
          </w:p>
        </w:tc>
      </w:tr>
      <w:tr>
        <w:tc>
          <w:tcPr>
            <w:tcW w:type="dxa" w:w="3389"/>
            <w:tcMar>
              <w:top w:w="90" w:type="dxa"/>
              <w:start w:w="100" w:type="dxa"/>
              <w:bottom w:w="90" w:type="dxa"/>
              <w:end w:w="100" w:type="dxa"/>
            </w:tcMar>
            <w:vAlign w:val="center"/>
            <w:shd w:fill="F8FAFC"/>
          </w:tcPr>
          <w:p>
            <w:pPr>
              <w:spacing w:after="0"/>
            </w:pPr>
            <w:r>
              <w:rPr>
                <w:sz w:val="16"/>
              </w:rPr>
              <w:t>Agentic Operations</w:t>
            </w:r>
          </w:p>
        </w:tc>
        <w:tc>
          <w:tcPr>
            <w:tcW w:type="dxa" w:w="3389"/>
            <w:tcMar>
              <w:top w:w="90" w:type="dxa"/>
              <w:start w:w="100" w:type="dxa"/>
              <w:bottom w:w="90" w:type="dxa"/>
              <w:end w:w="100" w:type="dxa"/>
            </w:tcMar>
            <w:vAlign w:val="center"/>
            <w:shd w:fill="F8FAFC"/>
          </w:tcPr>
          <w:p>
            <w:pPr>
              <w:spacing w:after="0"/>
            </w:pPr>
            <w:r>
              <w:rPr>
                <w:sz w:val="16"/>
              </w:rPr>
              <w:t>High-ticket transformation</w:t>
            </w:r>
          </w:p>
        </w:tc>
        <w:tc>
          <w:tcPr>
            <w:tcW w:type="dxa" w:w="3389"/>
            <w:tcMar>
              <w:top w:w="90" w:type="dxa"/>
              <w:start w:w="100" w:type="dxa"/>
              <w:bottom w:w="90" w:type="dxa"/>
              <w:end w:w="100" w:type="dxa"/>
            </w:tcMar>
            <w:vAlign w:val="center"/>
            <w:shd w:fill="F8FAFC"/>
          </w:tcPr>
          <w:p>
            <w:pPr>
              <w:spacing w:after="0"/>
            </w:pPr>
            <w:r>
              <w:rPr>
                <w:sz w:val="16"/>
              </w:rPr>
              <w:t>Paid audit → pilot → deployment</w:t>
            </w:r>
          </w:p>
        </w:tc>
      </w:tr>
      <w:tr>
        <w:tc>
          <w:tcPr>
            <w:tcW w:type="dxa" w:w="3389"/>
            <w:tcMar>
              <w:top w:w="90" w:type="dxa"/>
              <w:start w:w="100" w:type="dxa"/>
              <w:bottom w:w="90" w:type="dxa"/>
              <w:end w:w="100" w:type="dxa"/>
            </w:tcMar>
            <w:vAlign w:val="center"/>
          </w:tcPr>
          <w:p>
            <w:pPr>
              <w:spacing w:after="0"/>
            </w:pPr>
            <w:r>
              <w:rPr>
                <w:sz w:val="16"/>
              </w:rPr>
              <w:t>Optimization</w:t>
            </w:r>
          </w:p>
        </w:tc>
        <w:tc>
          <w:tcPr>
            <w:tcW w:type="dxa" w:w="3389"/>
            <w:tcMar>
              <w:top w:w="90" w:type="dxa"/>
              <w:start w:w="100" w:type="dxa"/>
              <w:bottom w:w="90" w:type="dxa"/>
              <w:end w:w="100" w:type="dxa"/>
            </w:tcMar>
            <w:vAlign w:val="center"/>
          </w:tcPr>
          <w:p>
            <w:pPr>
              <w:spacing w:after="0"/>
            </w:pPr>
            <w:r>
              <w:rPr>
                <w:sz w:val="16"/>
              </w:rPr>
              <w:t>Recurring revenue</w:t>
            </w:r>
          </w:p>
        </w:tc>
        <w:tc>
          <w:tcPr>
            <w:tcW w:type="dxa" w:w="3389"/>
            <w:tcMar>
              <w:top w:w="90" w:type="dxa"/>
              <w:start w:w="100" w:type="dxa"/>
              <w:bottom w:w="90" w:type="dxa"/>
              <w:end w:w="100" w:type="dxa"/>
            </w:tcMar>
            <w:vAlign w:val="center"/>
          </w:tcPr>
          <w:p>
            <w:pPr>
              <w:spacing w:after="0"/>
            </w:pPr>
            <w:r>
              <w:rPr>
                <w:sz w:val="16"/>
              </w:rPr>
              <w:t>Monitoring, improvements, new responsibilities</w:t>
            </w:r>
          </w:p>
        </w:tc>
      </w:tr>
    </w:tbl>
    <w:p>
      <w:pPr>
        <w:spacing w:after="20"/>
      </w:pPr>
    </w:p>
    <w:p>
      <w:r>
        <w:t>One Instagram and one public RH presence should concentrate distribution at this stage. Growth Products and Agentic Operations become product lines within the same brand rather than separate social accounts.</w:t>
      </w:r>
    </w:p>
    <w:p>
      <w:pPr>
        <w:pStyle w:val="Heading1"/>
      </w:pPr>
      <w:r>
        <w:t>3. RH Agentic Operations Framework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Stage</w:t>
            </w:r>
          </w:p>
        </w:tc>
        <w:tc>
          <w:tcPr>
            <w:tcW w:type="dxa" w:w="3389"/>
            <w:shd w:fill="111827"/>
            <w:vAlign w:val="center"/>
            <w:tcMar>
              <w:top w:w="90" w:type="dxa"/>
              <w:start w:w="100" w:type="dxa"/>
              <w:bottom w:w="90" w:type="dxa"/>
              <w:end w:w="100" w:type="dxa"/>
            </w:tcMar>
          </w:tcPr>
          <w:p>
            <w:r>
              <w:rPr>
                <w:b/>
                <w:color w:val="FFFFFF"/>
                <w:sz w:val="16"/>
              </w:rPr>
              <w:t>Question answered</w:t>
            </w:r>
          </w:p>
        </w:tc>
        <w:tc>
          <w:tcPr>
            <w:tcW w:type="dxa" w:w="3389"/>
            <w:shd w:fill="111827"/>
            <w:vAlign w:val="center"/>
            <w:tcMar>
              <w:top w:w="90" w:type="dxa"/>
              <w:start w:w="100" w:type="dxa"/>
              <w:bottom w:w="90" w:type="dxa"/>
              <w:end w:w="100" w:type="dxa"/>
            </w:tcMar>
          </w:tcPr>
          <w:p>
            <w:r>
              <w:rPr>
                <w:b/>
                <w:color w:val="FFFFFF"/>
                <w:sz w:val="16"/>
              </w:rPr>
              <w:t>Output</w:t>
            </w:r>
          </w:p>
        </w:tc>
      </w:tr>
      <w:tr>
        <w:tc>
          <w:tcPr>
            <w:tcW w:type="dxa" w:w="3389"/>
            <w:tcMar>
              <w:top w:w="90" w:type="dxa"/>
              <w:start w:w="100" w:type="dxa"/>
              <w:bottom w:w="90" w:type="dxa"/>
              <w:end w:w="100" w:type="dxa"/>
            </w:tcMar>
            <w:vAlign w:val="center"/>
          </w:tcPr>
          <w:p>
            <w:pPr>
              <w:spacing w:after="0"/>
            </w:pPr>
            <w:r>
              <w:rPr>
                <w:sz w:val="15"/>
              </w:rPr>
              <w:t>DISCOVER</w:t>
            </w:r>
          </w:p>
        </w:tc>
        <w:tc>
          <w:tcPr>
            <w:tcW w:type="dxa" w:w="3389"/>
            <w:tcMar>
              <w:top w:w="90" w:type="dxa"/>
              <w:start w:w="100" w:type="dxa"/>
              <w:bottom w:w="90" w:type="dxa"/>
              <w:end w:w="100" w:type="dxa"/>
            </w:tcMar>
            <w:vAlign w:val="center"/>
          </w:tcPr>
          <w:p>
            <w:pPr>
              <w:spacing w:after="0"/>
            </w:pPr>
            <w:r>
              <w:rPr>
                <w:sz w:val="15"/>
              </w:rPr>
              <w:t>How does this business actually operate?</w:t>
            </w:r>
          </w:p>
        </w:tc>
        <w:tc>
          <w:tcPr>
            <w:tcW w:type="dxa" w:w="3389"/>
            <w:tcMar>
              <w:top w:w="90" w:type="dxa"/>
              <w:start w:w="100" w:type="dxa"/>
              <w:bottom w:w="90" w:type="dxa"/>
              <w:end w:w="100" w:type="dxa"/>
            </w:tcMar>
            <w:vAlign w:val="center"/>
          </w:tcPr>
          <w:p>
            <w:pPr>
              <w:spacing w:after="0"/>
            </w:pPr>
            <w:r>
              <w:rPr>
                <w:sz w:val="15"/>
              </w:rPr>
              <w:t>Business context, goals, systems, people, pains</w:t>
            </w:r>
          </w:p>
        </w:tc>
      </w:tr>
      <w:tr>
        <w:tc>
          <w:tcPr>
            <w:tcW w:type="dxa" w:w="3389"/>
            <w:tcMar>
              <w:top w:w="90" w:type="dxa"/>
              <w:start w:w="100" w:type="dxa"/>
              <w:bottom w:w="90" w:type="dxa"/>
              <w:end w:w="100" w:type="dxa"/>
            </w:tcMar>
            <w:vAlign w:val="center"/>
            <w:shd w:fill="F8FAFC"/>
          </w:tcPr>
          <w:p>
            <w:pPr>
              <w:spacing w:after="0"/>
            </w:pPr>
            <w:r>
              <w:rPr>
                <w:sz w:val="15"/>
              </w:rPr>
              <w:t>MAP</w:t>
            </w:r>
          </w:p>
        </w:tc>
        <w:tc>
          <w:tcPr>
            <w:tcW w:type="dxa" w:w="3389"/>
            <w:tcMar>
              <w:top w:w="90" w:type="dxa"/>
              <w:start w:w="100" w:type="dxa"/>
              <w:bottom w:w="90" w:type="dxa"/>
              <w:end w:w="100" w:type="dxa"/>
            </w:tcMar>
            <w:vAlign w:val="center"/>
            <w:shd w:fill="F8FAFC"/>
          </w:tcPr>
          <w:p>
            <w:pPr>
              <w:spacing w:after="0"/>
            </w:pPr>
            <w:r>
              <w:rPr>
                <w:sz w:val="15"/>
              </w:rPr>
              <w:t>Where does work move and stall?</w:t>
            </w:r>
          </w:p>
        </w:tc>
        <w:tc>
          <w:tcPr>
            <w:tcW w:type="dxa" w:w="3389"/>
            <w:tcMar>
              <w:top w:w="90" w:type="dxa"/>
              <w:start w:w="100" w:type="dxa"/>
              <w:bottom w:w="90" w:type="dxa"/>
              <w:end w:w="100" w:type="dxa"/>
            </w:tcMar>
            <w:vAlign w:val="center"/>
            <w:shd w:fill="F8FAFC"/>
          </w:tcPr>
          <w:p>
            <w:pPr>
              <w:spacing w:after="0"/>
            </w:pPr>
            <w:r>
              <w:rPr>
                <w:sz w:val="15"/>
              </w:rPr>
              <w:t>Current-state process maps and ownership</w:t>
            </w:r>
          </w:p>
        </w:tc>
      </w:tr>
      <w:tr>
        <w:tc>
          <w:tcPr>
            <w:tcW w:type="dxa" w:w="3389"/>
            <w:tcMar>
              <w:top w:w="90" w:type="dxa"/>
              <w:start w:w="100" w:type="dxa"/>
              <w:bottom w:w="90" w:type="dxa"/>
              <w:end w:w="100" w:type="dxa"/>
            </w:tcMar>
            <w:vAlign w:val="center"/>
          </w:tcPr>
          <w:p>
            <w:pPr>
              <w:spacing w:after="0"/>
            </w:pPr>
            <w:r>
              <w:rPr>
                <w:sz w:val="15"/>
              </w:rPr>
              <w:t>SIMPLIFY</w:t>
            </w:r>
          </w:p>
        </w:tc>
        <w:tc>
          <w:tcPr>
            <w:tcW w:type="dxa" w:w="3389"/>
            <w:tcMar>
              <w:top w:w="90" w:type="dxa"/>
              <w:start w:w="100" w:type="dxa"/>
              <w:bottom w:w="90" w:type="dxa"/>
              <w:end w:w="100" w:type="dxa"/>
            </w:tcMar>
            <w:vAlign w:val="center"/>
          </w:tcPr>
          <w:p>
            <w:pPr>
              <w:spacing w:after="0"/>
            </w:pPr>
            <w:r>
              <w:rPr>
                <w:sz w:val="15"/>
              </w:rPr>
              <w:t>What should be eliminated or redesigned first?</w:t>
            </w:r>
          </w:p>
        </w:tc>
        <w:tc>
          <w:tcPr>
            <w:tcW w:type="dxa" w:w="3389"/>
            <w:tcMar>
              <w:top w:w="90" w:type="dxa"/>
              <w:start w:w="100" w:type="dxa"/>
              <w:bottom w:w="90" w:type="dxa"/>
              <w:end w:w="100" w:type="dxa"/>
            </w:tcMar>
            <w:vAlign w:val="center"/>
          </w:tcPr>
          <w:p>
            <w:pPr>
              <w:spacing w:after="0"/>
            </w:pPr>
            <w:r>
              <w:rPr>
                <w:sz w:val="15"/>
              </w:rPr>
              <w:t>Reduced process, removed waste, clarified rules</w:t>
            </w:r>
          </w:p>
        </w:tc>
      </w:tr>
      <w:tr>
        <w:tc>
          <w:tcPr>
            <w:tcW w:type="dxa" w:w="3389"/>
            <w:tcMar>
              <w:top w:w="90" w:type="dxa"/>
              <w:start w:w="100" w:type="dxa"/>
              <w:bottom w:w="90" w:type="dxa"/>
              <w:end w:w="100" w:type="dxa"/>
            </w:tcMar>
            <w:vAlign w:val="center"/>
            <w:shd w:fill="F8FAFC"/>
          </w:tcPr>
          <w:p>
            <w:pPr>
              <w:spacing w:after="0"/>
            </w:pPr>
            <w:r>
              <w:rPr>
                <w:sz w:val="15"/>
              </w:rPr>
              <w:t>DELEGATE</w:t>
            </w:r>
          </w:p>
        </w:tc>
        <w:tc>
          <w:tcPr>
            <w:tcW w:type="dxa" w:w="3389"/>
            <w:tcMar>
              <w:top w:w="90" w:type="dxa"/>
              <w:start w:w="100" w:type="dxa"/>
              <w:bottom w:w="90" w:type="dxa"/>
              <w:end w:w="100" w:type="dxa"/>
            </w:tcMar>
            <w:vAlign w:val="center"/>
            <w:shd w:fill="F8FAFC"/>
          </w:tcPr>
          <w:p>
            <w:pPr>
              <w:spacing w:after="0"/>
            </w:pPr>
            <w:r>
              <w:rPr>
                <w:sz w:val="15"/>
              </w:rPr>
              <w:t>What belongs to human, software or agent?</w:t>
            </w:r>
          </w:p>
        </w:tc>
        <w:tc>
          <w:tcPr>
            <w:tcW w:type="dxa" w:w="3389"/>
            <w:tcMar>
              <w:top w:w="90" w:type="dxa"/>
              <w:start w:w="100" w:type="dxa"/>
              <w:bottom w:w="90" w:type="dxa"/>
              <w:end w:w="100" w:type="dxa"/>
            </w:tcMar>
            <w:vAlign w:val="center"/>
            <w:shd w:fill="F8FAFC"/>
          </w:tcPr>
          <w:p>
            <w:pPr>
              <w:spacing w:after="0"/>
            </w:pPr>
            <w:r>
              <w:rPr>
                <w:sz w:val="15"/>
              </w:rPr>
              <w:t>Human / Automate / Agent-ready / Redesign classification</w:t>
            </w:r>
          </w:p>
        </w:tc>
      </w:tr>
      <w:tr>
        <w:tc>
          <w:tcPr>
            <w:tcW w:type="dxa" w:w="3389"/>
            <w:tcMar>
              <w:top w:w="90" w:type="dxa"/>
              <w:start w:w="100" w:type="dxa"/>
              <w:bottom w:w="90" w:type="dxa"/>
              <w:end w:w="100" w:type="dxa"/>
            </w:tcMar>
            <w:vAlign w:val="center"/>
          </w:tcPr>
          <w:p>
            <w:pPr>
              <w:spacing w:after="0"/>
            </w:pPr>
            <w:r>
              <w:rPr>
                <w:sz w:val="15"/>
              </w:rPr>
              <w:t>DEPLOY</w:t>
            </w:r>
          </w:p>
        </w:tc>
        <w:tc>
          <w:tcPr>
            <w:tcW w:type="dxa" w:w="3389"/>
            <w:tcMar>
              <w:top w:w="90" w:type="dxa"/>
              <w:start w:w="100" w:type="dxa"/>
              <w:bottom w:w="90" w:type="dxa"/>
              <w:end w:w="100" w:type="dxa"/>
            </w:tcMar>
            <w:vAlign w:val="center"/>
          </w:tcPr>
          <w:p>
            <w:pPr>
              <w:spacing w:after="0"/>
            </w:pPr>
            <w:r>
              <w:rPr>
                <w:sz w:val="15"/>
              </w:rPr>
              <w:t>How will the new operating model work?</w:t>
            </w:r>
          </w:p>
        </w:tc>
        <w:tc>
          <w:tcPr>
            <w:tcW w:type="dxa" w:w="3389"/>
            <w:tcMar>
              <w:top w:w="90" w:type="dxa"/>
              <w:start w:w="100" w:type="dxa"/>
              <w:bottom w:w="90" w:type="dxa"/>
              <w:end w:w="100" w:type="dxa"/>
            </w:tcMar>
            <w:vAlign w:val="center"/>
          </w:tcPr>
          <w:p>
            <w:pPr>
              <w:spacing w:after="0"/>
            </w:pPr>
            <w:r>
              <w:rPr>
                <w:sz w:val="15"/>
              </w:rPr>
              <w:t>Configured agents, integrations, SOPs and roles</w:t>
            </w:r>
          </w:p>
        </w:tc>
      </w:tr>
      <w:tr>
        <w:tc>
          <w:tcPr>
            <w:tcW w:type="dxa" w:w="3389"/>
            <w:tcMar>
              <w:top w:w="90" w:type="dxa"/>
              <w:start w:w="100" w:type="dxa"/>
              <w:bottom w:w="90" w:type="dxa"/>
              <w:end w:w="100" w:type="dxa"/>
            </w:tcMar>
            <w:vAlign w:val="center"/>
            <w:shd w:fill="F8FAFC"/>
          </w:tcPr>
          <w:p>
            <w:pPr>
              <w:spacing w:after="0"/>
            </w:pPr>
            <w:r>
              <w:rPr>
                <w:sz w:val="15"/>
              </w:rPr>
              <w:t>CONTROL</w:t>
            </w:r>
          </w:p>
        </w:tc>
        <w:tc>
          <w:tcPr>
            <w:tcW w:type="dxa" w:w="3389"/>
            <w:tcMar>
              <w:top w:w="90" w:type="dxa"/>
              <w:start w:w="100" w:type="dxa"/>
              <w:bottom w:w="90" w:type="dxa"/>
              <w:end w:w="100" w:type="dxa"/>
            </w:tcMar>
            <w:vAlign w:val="center"/>
            <w:shd w:fill="F8FAFC"/>
          </w:tcPr>
          <w:p>
            <w:pPr>
              <w:spacing w:after="0"/>
            </w:pPr>
            <w:r>
              <w:rPr>
                <w:sz w:val="15"/>
              </w:rPr>
              <w:t>What may agents do and when must humans approve?</w:t>
            </w:r>
          </w:p>
        </w:tc>
        <w:tc>
          <w:tcPr>
            <w:tcW w:type="dxa" w:w="3389"/>
            <w:tcMar>
              <w:top w:w="90" w:type="dxa"/>
              <w:start w:w="100" w:type="dxa"/>
              <w:bottom w:w="90" w:type="dxa"/>
              <w:end w:w="100" w:type="dxa"/>
            </w:tcMar>
            <w:vAlign w:val="center"/>
            <w:shd w:fill="F8FAFC"/>
          </w:tcPr>
          <w:p>
            <w:pPr>
              <w:spacing w:after="0"/>
            </w:pPr>
            <w:r>
              <w:rPr>
                <w:sz w:val="15"/>
              </w:rPr>
              <w:t>Permissions, prohibited actions, approvals and escalation</w:t>
            </w:r>
          </w:p>
        </w:tc>
      </w:tr>
      <w:tr>
        <w:tc>
          <w:tcPr>
            <w:tcW w:type="dxa" w:w="3389"/>
            <w:tcMar>
              <w:top w:w="90" w:type="dxa"/>
              <w:start w:w="100" w:type="dxa"/>
              <w:bottom w:w="90" w:type="dxa"/>
              <w:end w:w="100" w:type="dxa"/>
            </w:tcMar>
            <w:vAlign w:val="center"/>
          </w:tcPr>
          <w:p>
            <w:pPr>
              <w:spacing w:after="0"/>
            </w:pPr>
            <w:r>
              <w:rPr>
                <w:sz w:val="15"/>
              </w:rPr>
              <w:t>MEASURE</w:t>
            </w:r>
          </w:p>
        </w:tc>
        <w:tc>
          <w:tcPr>
            <w:tcW w:type="dxa" w:w="3389"/>
            <w:tcMar>
              <w:top w:w="90" w:type="dxa"/>
              <w:start w:w="100" w:type="dxa"/>
              <w:bottom w:w="90" w:type="dxa"/>
              <w:end w:w="100" w:type="dxa"/>
            </w:tcMar>
            <w:vAlign w:val="center"/>
          </w:tcPr>
          <w:p>
            <w:pPr>
              <w:spacing w:after="0"/>
            </w:pPr>
            <w:r>
              <w:rPr>
                <w:sz w:val="15"/>
              </w:rPr>
              <w:t>Did the change create economic value?</w:t>
            </w:r>
          </w:p>
        </w:tc>
        <w:tc>
          <w:tcPr>
            <w:tcW w:type="dxa" w:w="3389"/>
            <w:tcMar>
              <w:top w:w="90" w:type="dxa"/>
              <w:start w:w="100" w:type="dxa"/>
              <w:bottom w:w="90" w:type="dxa"/>
              <w:end w:w="100" w:type="dxa"/>
            </w:tcMar>
            <w:vAlign w:val="center"/>
          </w:tcPr>
          <w:p>
            <w:pPr>
              <w:spacing w:after="0"/>
            </w:pPr>
            <w:r>
              <w:rPr>
                <w:sz w:val="15"/>
              </w:rPr>
              <w:t>Before/after KPIs, ROI and reliability</w:t>
            </w:r>
          </w:p>
        </w:tc>
      </w:tr>
      <w:tr>
        <w:tc>
          <w:tcPr>
            <w:tcW w:type="dxa" w:w="3389"/>
            <w:tcMar>
              <w:top w:w="90" w:type="dxa"/>
              <w:start w:w="100" w:type="dxa"/>
              <w:bottom w:w="90" w:type="dxa"/>
              <w:end w:w="100" w:type="dxa"/>
            </w:tcMar>
            <w:vAlign w:val="center"/>
            <w:shd w:fill="F8FAFC"/>
          </w:tcPr>
          <w:p>
            <w:pPr>
              <w:spacing w:after="0"/>
            </w:pPr>
            <w:r>
              <w:rPr>
                <w:sz w:val="15"/>
              </w:rPr>
              <w:t>SCALE</w:t>
            </w:r>
          </w:p>
        </w:tc>
        <w:tc>
          <w:tcPr>
            <w:tcW w:type="dxa" w:w="3389"/>
            <w:tcMar>
              <w:top w:w="90" w:type="dxa"/>
              <w:start w:w="100" w:type="dxa"/>
              <w:bottom w:w="90" w:type="dxa"/>
              <w:end w:w="100" w:type="dxa"/>
            </w:tcMar>
            <w:vAlign w:val="center"/>
            <w:shd w:fill="F8FAFC"/>
          </w:tcPr>
          <w:p>
            <w:pPr>
              <w:spacing w:after="0"/>
            </w:pPr>
            <w:r>
              <w:rPr>
                <w:sz w:val="15"/>
              </w:rPr>
              <w:t>What can now be reused or expanded?</w:t>
            </w:r>
          </w:p>
        </w:tc>
        <w:tc>
          <w:tcPr>
            <w:tcW w:type="dxa" w:w="3389"/>
            <w:tcMar>
              <w:top w:w="90" w:type="dxa"/>
              <w:start w:w="100" w:type="dxa"/>
              <w:bottom w:w="90" w:type="dxa"/>
              <w:end w:w="100" w:type="dxa"/>
            </w:tcMar>
            <w:vAlign w:val="center"/>
            <w:shd w:fill="F8FAFC"/>
          </w:tcPr>
          <w:p>
            <w:pPr>
              <w:spacing w:after="0"/>
            </w:pPr>
            <w:r>
              <w:rPr>
                <w:sz w:val="15"/>
              </w:rPr>
              <w:t>Reusable templates, additional responsibilities and rollout plan</w:t>
            </w:r>
          </w:p>
        </w:tc>
      </w:tr>
    </w:tbl>
    <w:p>
      <w:pPr>
        <w:spacing w:after="20"/>
      </w:pPr>
    </w:p>
    <w:tbl>
      <w:tblPr>
        <w:tblW w:type="auto" w:w="0"/>
        <w:jc w:val="center"/>
        <w:tblLook w:firstColumn="1" w:firstRow="1" w:lastColumn="0" w:lastRow="0" w:noHBand="0" w:noVBand="1" w:val="04A0"/>
      </w:tblPr>
      <w:tblGrid>
        <w:gridCol w:w="10166"/>
      </w:tblGrid>
      <w:tr>
        <w:tc>
          <w:tcPr>
            <w:tcW w:type="dxa" w:w="10166"/>
            <w:shd w:fill="F1F5F9"/>
            <w:tcMar>
              <w:top w:w="140" w:type="dxa"/>
              <w:start w:w="170" w:type="dxa"/>
              <w:bottom w:w="140" w:type="dxa"/>
              <w:end w:w="170" w:type="dxa"/>
            </w:tcMar>
          </w:tcPr>
          <w:p>
            <w:r>
              <w:rPr>
                <w:b/>
                <w:color w:val="111827"/>
                <w:sz w:val="20"/>
              </w:rPr>
              <w:t>Non-negotiable boundary</w:t>
              <w:br/>
            </w:r>
            <w:r>
              <w:rPr>
                <w:sz w:val="18"/>
              </w:rPr>
              <w:t>For legal, dental and other regulated verticals, RH only automates administrative and operational work unless appropriately licensed professionals remain responsible for the professional act. Agents may inform, organize, remind, collect, coordinate, monitor and communicate verified status; they do not provide legal, clinical or other regulated advice, interpretations or recommendations.</w:t>
            </w:r>
          </w:p>
        </w:tc>
      </w:tr>
    </w:tbl>
    <w:p>
      <w:pPr>
        <w:spacing w:after="20"/>
      </w:pPr>
    </w:p>
    <w:p>
      <w:pPr>
        <w:pStyle w:val="Heading1"/>
      </w:pPr>
      <w:r>
        <w:t>4. Commercial offer ladder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Mar>
              <w:top w:w="90" w:type="dxa"/>
              <w:start w:w="100" w:type="dxa"/>
              <w:bottom w:w="90" w:type="dxa"/>
              <w:end w:w="100" w:type="dxa"/>
            </w:tcMar>
          </w:tcPr>
          <w:p>
            <w:r>
              <w:rPr>
                <w:b/>
                <w:color w:val="FFFFFF"/>
                <w:sz w:val="16"/>
              </w:rPr>
              <w:t>Offer</w:t>
            </w:r>
          </w:p>
        </w:tc>
        <w:tc>
          <w:tcPr>
            <w:tcW w:type="dxa" w:w="2541"/>
            <w:shd w:fill="111827"/>
            <w:vAlign w:val="center"/>
            <w:tcMar>
              <w:top w:w="90" w:type="dxa"/>
              <w:start w:w="100" w:type="dxa"/>
              <w:bottom w:w="90" w:type="dxa"/>
              <w:end w:w="100" w:type="dxa"/>
            </w:tcMar>
          </w:tcPr>
          <w:p>
            <w:r>
              <w:rPr>
                <w:b/>
                <w:color w:val="FFFFFF"/>
                <w:sz w:val="16"/>
              </w:rPr>
              <w:t>Purpose</w:t>
            </w:r>
          </w:p>
        </w:tc>
        <w:tc>
          <w:tcPr>
            <w:tcW w:type="dxa" w:w="2541"/>
            <w:shd w:fill="111827"/>
            <w:vAlign w:val="center"/>
            <w:tcMar>
              <w:top w:w="90" w:type="dxa"/>
              <w:start w:w="100" w:type="dxa"/>
              <w:bottom w:w="90" w:type="dxa"/>
              <w:end w:w="100" w:type="dxa"/>
            </w:tcMar>
          </w:tcPr>
          <w:p>
            <w:r>
              <w:rPr>
                <w:b/>
                <w:color w:val="FFFFFF"/>
                <w:sz w:val="16"/>
              </w:rPr>
              <w:t>Initial pricing hypothesis</w:t>
            </w:r>
          </w:p>
        </w:tc>
        <w:tc>
          <w:tcPr>
            <w:tcW w:type="dxa" w:w="2541"/>
            <w:shd w:fill="111827"/>
            <w:vAlign w:val="center"/>
            <w:tcMar>
              <w:top w:w="90" w:type="dxa"/>
              <w:start w:w="100" w:type="dxa"/>
              <w:bottom w:w="90" w:type="dxa"/>
              <w:end w:w="100" w:type="dxa"/>
            </w:tcMar>
          </w:tcPr>
          <w:p>
            <w:r>
              <w:rPr>
                <w:b/>
                <w:color w:val="FFFFFF"/>
                <w:sz w:val="16"/>
              </w:rPr>
              <w:t>Commercial rule</w:t>
            </w:r>
          </w:p>
        </w:tc>
      </w:tr>
      <w:tr>
        <w:tc>
          <w:tcPr>
            <w:tcW w:type="dxa" w:w="2541"/>
            <w:tcMar>
              <w:top w:w="90" w:type="dxa"/>
              <w:start w:w="100" w:type="dxa"/>
              <w:bottom w:w="90" w:type="dxa"/>
              <w:end w:w="100" w:type="dxa"/>
            </w:tcMar>
            <w:vAlign w:val="center"/>
          </w:tcPr>
          <w:p>
            <w:pPr>
              <w:spacing w:after="0"/>
            </w:pPr>
            <w:r>
              <w:rPr>
                <w:sz w:val="15"/>
              </w:rPr>
              <w:t>Fit Call</w:t>
            </w:r>
          </w:p>
        </w:tc>
        <w:tc>
          <w:tcPr>
            <w:tcW w:type="dxa" w:w="2541"/>
            <w:tcMar>
              <w:top w:w="90" w:type="dxa"/>
              <w:start w:w="100" w:type="dxa"/>
              <w:bottom w:w="90" w:type="dxa"/>
              <w:end w:w="100" w:type="dxa"/>
            </w:tcMar>
            <w:vAlign w:val="center"/>
          </w:tcPr>
          <w:p>
            <w:pPr>
              <w:spacing w:after="0"/>
            </w:pPr>
            <w:r>
              <w:rPr>
                <w:sz w:val="15"/>
              </w:rPr>
              <w:t>Determine whether a paid audit is appropriate</w:t>
            </w:r>
          </w:p>
        </w:tc>
        <w:tc>
          <w:tcPr>
            <w:tcW w:type="dxa" w:w="2541"/>
            <w:tcMar>
              <w:top w:w="90" w:type="dxa"/>
              <w:start w:w="100" w:type="dxa"/>
              <w:bottom w:w="90" w:type="dxa"/>
              <w:end w:w="100" w:type="dxa"/>
            </w:tcMar>
            <w:vAlign w:val="center"/>
          </w:tcPr>
          <w:p>
            <w:pPr>
              <w:spacing w:after="0"/>
            </w:pPr>
            <w:r>
              <w:rPr>
                <w:sz w:val="15"/>
              </w:rPr>
              <w:t>Free · 15 minutes</w:t>
            </w:r>
          </w:p>
        </w:tc>
        <w:tc>
          <w:tcPr>
            <w:tcW w:type="dxa" w:w="2541"/>
            <w:tcMar>
              <w:top w:w="90" w:type="dxa"/>
              <w:start w:w="100" w:type="dxa"/>
              <w:bottom w:w="90" w:type="dxa"/>
              <w:end w:w="100" w:type="dxa"/>
            </w:tcMar>
            <w:vAlign w:val="center"/>
          </w:tcPr>
          <w:p>
            <w:pPr>
              <w:spacing w:after="0"/>
            </w:pPr>
            <w:r>
              <w:rPr>
                <w:sz w:val="15"/>
              </w:rPr>
              <w:t>Qualification only; no free consulting</w:t>
            </w:r>
          </w:p>
        </w:tc>
      </w:tr>
      <w:tr>
        <w:tc>
          <w:tcPr>
            <w:tcW w:type="dxa" w:w="2541"/>
            <w:tcMar>
              <w:top w:w="90" w:type="dxa"/>
              <w:start w:w="100" w:type="dxa"/>
              <w:bottom w:w="90" w:type="dxa"/>
              <w:end w:w="100" w:type="dxa"/>
            </w:tcMar>
            <w:vAlign w:val="center"/>
            <w:shd w:fill="F8FAFC"/>
          </w:tcPr>
          <w:p>
            <w:pPr>
              <w:spacing w:after="0"/>
            </w:pPr>
            <w:r>
              <w:rPr>
                <w:sz w:val="15"/>
              </w:rPr>
              <w:t>Agentic Operations Audit</w:t>
            </w:r>
          </w:p>
        </w:tc>
        <w:tc>
          <w:tcPr>
            <w:tcW w:type="dxa" w:w="2541"/>
            <w:tcMar>
              <w:top w:w="90" w:type="dxa"/>
              <w:start w:w="100" w:type="dxa"/>
              <w:bottom w:w="90" w:type="dxa"/>
              <w:end w:w="100" w:type="dxa"/>
            </w:tcMar>
            <w:vAlign w:val="center"/>
            <w:shd w:fill="F8FAFC"/>
          </w:tcPr>
          <w:p>
            <w:pPr>
              <w:spacing w:after="0"/>
            </w:pPr>
            <w:r>
              <w:rPr>
                <w:sz w:val="15"/>
              </w:rPr>
              <w:t>Map opportunities, ROI, risk and implementation blueprint</w:t>
            </w:r>
          </w:p>
        </w:tc>
        <w:tc>
          <w:tcPr>
            <w:tcW w:type="dxa" w:w="2541"/>
            <w:tcMar>
              <w:top w:w="90" w:type="dxa"/>
              <w:start w:w="100" w:type="dxa"/>
              <w:bottom w:w="90" w:type="dxa"/>
              <w:end w:w="100" w:type="dxa"/>
            </w:tcMar>
            <w:vAlign w:val="center"/>
            <w:shd w:fill="F8FAFC"/>
          </w:tcPr>
          <w:p>
            <w:pPr>
              <w:spacing w:after="0"/>
            </w:pPr>
            <w:r>
              <w:rPr>
                <w:sz w:val="15"/>
              </w:rPr>
              <w:t>$750–$1,250 small business; $1,500–$2,500 established SMB; $3k+ custom</w:t>
            </w:r>
          </w:p>
        </w:tc>
        <w:tc>
          <w:tcPr>
            <w:tcW w:type="dxa" w:w="2541"/>
            <w:tcMar>
              <w:top w:w="90" w:type="dxa"/>
              <w:start w:w="100" w:type="dxa"/>
              <w:bottom w:w="90" w:type="dxa"/>
              <w:end w:w="100" w:type="dxa"/>
            </w:tcMar>
            <w:vAlign w:val="center"/>
            <w:shd w:fill="F8FAFC"/>
          </w:tcPr>
          <w:p>
            <w:pPr>
              <w:spacing w:after="0"/>
            </w:pPr>
            <w:r>
              <w:rPr>
                <w:sz w:val="15"/>
              </w:rPr>
              <w:t>Paid from day one</w:t>
            </w:r>
          </w:p>
        </w:tc>
      </w:tr>
      <w:tr>
        <w:tc>
          <w:tcPr>
            <w:tcW w:type="dxa" w:w="2541"/>
            <w:tcMar>
              <w:top w:w="90" w:type="dxa"/>
              <w:start w:w="100" w:type="dxa"/>
              <w:bottom w:w="90" w:type="dxa"/>
              <w:end w:w="100" w:type="dxa"/>
            </w:tcMar>
            <w:vAlign w:val="center"/>
          </w:tcPr>
          <w:p>
            <w:pPr>
              <w:spacing w:after="0"/>
            </w:pPr>
            <w:r>
              <w:rPr>
                <w:sz w:val="15"/>
              </w:rPr>
              <w:t>Agentic Pilot</w:t>
            </w:r>
          </w:p>
        </w:tc>
        <w:tc>
          <w:tcPr>
            <w:tcW w:type="dxa" w:w="2541"/>
            <w:tcMar>
              <w:top w:w="90" w:type="dxa"/>
              <w:start w:w="100" w:type="dxa"/>
              <w:bottom w:w="90" w:type="dxa"/>
              <w:end w:w="100" w:type="dxa"/>
            </w:tcMar>
            <w:vAlign w:val="center"/>
          </w:tcPr>
          <w:p>
            <w:pPr>
              <w:spacing w:after="0"/>
            </w:pPr>
            <w:r>
              <w:rPr>
                <w:sz w:val="15"/>
              </w:rPr>
              <w:t>Prove one high-value process in production</w:t>
            </w:r>
          </w:p>
        </w:tc>
        <w:tc>
          <w:tcPr>
            <w:tcW w:type="dxa" w:w="2541"/>
            <w:tcMar>
              <w:top w:w="90" w:type="dxa"/>
              <w:start w:w="100" w:type="dxa"/>
              <w:bottom w:w="90" w:type="dxa"/>
              <w:end w:w="100" w:type="dxa"/>
            </w:tcMar>
            <w:vAlign w:val="center"/>
          </w:tcPr>
          <w:p>
            <w:pPr>
              <w:spacing w:after="0"/>
            </w:pPr>
            <w:r>
              <w:rPr>
                <w:sz w:val="15"/>
              </w:rPr>
              <w:t>$2,500–$5,000</w:t>
            </w:r>
          </w:p>
        </w:tc>
        <w:tc>
          <w:tcPr>
            <w:tcW w:type="dxa" w:w="2541"/>
            <w:tcMar>
              <w:top w:w="90" w:type="dxa"/>
              <w:start w:w="100" w:type="dxa"/>
              <w:bottom w:w="90" w:type="dxa"/>
              <w:end w:w="100" w:type="dxa"/>
            </w:tcMar>
            <w:vAlign w:val="center"/>
          </w:tcPr>
          <w:p>
            <w:pPr>
              <w:spacing w:after="0"/>
            </w:pPr>
            <w:r>
              <w:rPr>
                <w:sz w:val="15"/>
              </w:rPr>
              <w:t>30–45 day measurable pilot</w:t>
            </w:r>
          </w:p>
        </w:tc>
      </w:tr>
      <w:tr>
        <w:tc>
          <w:tcPr>
            <w:tcW w:type="dxa" w:w="2541"/>
            <w:tcMar>
              <w:top w:w="90" w:type="dxa"/>
              <w:start w:w="100" w:type="dxa"/>
              <w:bottom w:w="90" w:type="dxa"/>
              <w:end w:w="100" w:type="dxa"/>
            </w:tcMar>
            <w:vAlign w:val="center"/>
            <w:shd w:fill="F8FAFC"/>
          </w:tcPr>
          <w:p>
            <w:pPr>
              <w:spacing w:after="0"/>
            </w:pPr>
            <w:r>
              <w:rPr>
                <w:sz w:val="15"/>
              </w:rPr>
              <w:t>Full Deployment</w:t>
            </w:r>
          </w:p>
        </w:tc>
        <w:tc>
          <w:tcPr>
            <w:tcW w:type="dxa" w:w="2541"/>
            <w:tcMar>
              <w:top w:w="90" w:type="dxa"/>
              <w:start w:w="100" w:type="dxa"/>
              <w:bottom w:w="90" w:type="dxa"/>
              <w:end w:w="100" w:type="dxa"/>
            </w:tcMar>
            <w:vAlign w:val="center"/>
            <w:shd w:fill="F8FAFC"/>
          </w:tcPr>
          <w:p>
            <w:pPr>
              <w:spacing w:after="0"/>
            </w:pPr>
            <w:r>
              <w:rPr>
                <w:sz w:val="15"/>
              </w:rPr>
              <w:t>Redesign and deploy multiple responsibilities</w:t>
            </w:r>
          </w:p>
        </w:tc>
        <w:tc>
          <w:tcPr>
            <w:tcW w:type="dxa" w:w="2541"/>
            <w:tcMar>
              <w:top w:w="90" w:type="dxa"/>
              <w:start w:w="100" w:type="dxa"/>
              <w:bottom w:w="90" w:type="dxa"/>
              <w:end w:w="100" w:type="dxa"/>
            </w:tcMar>
            <w:vAlign w:val="center"/>
            <w:shd w:fill="F8FAFC"/>
          </w:tcPr>
          <w:p>
            <w:pPr>
              <w:spacing w:after="0"/>
            </w:pPr>
            <w:r>
              <w:rPr>
                <w:sz w:val="15"/>
              </w:rPr>
              <w:t>$7,500–$20k+</w:t>
            </w:r>
          </w:p>
        </w:tc>
        <w:tc>
          <w:tcPr>
            <w:tcW w:type="dxa" w:w="2541"/>
            <w:tcMar>
              <w:top w:w="90" w:type="dxa"/>
              <w:start w:w="100" w:type="dxa"/>
              <w:bottom w:w="90" w:type="dxa"/>
              <w:end w:w="100" w:type="dxa"/>
            </w:tcMar>
            <w:vAlign w:val="center"/>
            <w:shd w:fill="F8FAFC"/>
          </w:tcPr>
          <w:p>
            <w:pPr>
              <w:spacing w:after="0"/>
            </w:pPr>
            <w:r>
              <w:rPr>
                <w:sz w:val="15"/>
              </w:rPr>
              <w:t>Price by scope and value, not agent count</w:t>
            </w:r>
          </w:p>
        </w:tc>
      </w:tr>
      <w:tr>
        <w:tc>
          <w:tcPr>
            <w:tcW w:type="dxa" w:w="2541"/>
            <w:tcMar>
              <w:top w:w="90" w:type="dxa"/>
              <w:start w:w="100" w:type="dxa"/>
              <w:bottom w:w="90" w:type="dxa"/>
              <w:end w:w="100" w:type="dxa"/>
            </w:tcMar>
            <w:vAlign w:val="center"/>
          </w:tcPr>
          <w:p>
            <w:pPr>
              <w:spacing w:after="0"/>
            </w:pPr>
            <w:r>
              <w:rPr>
                <w:sz w:val="15"/>
              </w:rPr>
              <w:t>Optimization</w:t>
            </w:r>
          </w:p>
        </w:tc>
        <w:tc>
          <w:tcPr>
            <w:tcW w:type="dxa" w:w="2541"/>
            <w:tcMar>
              <w:top w:w="90" w:type="dxa"/>
              <w:start w:w="100" w:type="dxa"/>
              <w:bottom w:w="90" w:type="dxa"/>
              <w:end w:w="100" w:type="dxa"/>
            </w:tcMar>
            <w:vAlign w:val="center"/>
          </w:tcPr>
          <w:p>
            <w:pPr>
              <w:spacing w:after="0"/>
            </w:pPr>
            <w:r>
              <w:rPr>
                <w:sz w:val="15"/>
              </w:rPr>
              <w:t>Monitor, improve and extend agentic operations</w:t>
            </w:r>
          </w:p>
        </w:tc>
        <w:tc>
          <w:tcPr>
            <w:tcW w:type="dxa" w:w="2541"/>
            <w:tcMar>
              <w:top w:w="90" w:type="dxa"/>
              <w:start w:w="100" w:type="dxa"/>
              <w:bottom w:w="90" w:type="dxa"/>
              <w:end w:w="100" w:type="dxa"/>
            </w:tcMar>
            <w:vAlign w:val="center"/>
          </w:tcPr>
          <w:p>
            <w:pPr>
              <w:spacing w:after="0"/>
            </w:pPr>
            <w:r>
              <w:rPr>
                <w:sz w:val="15"/>
              </w:rPr>
              <w:t>$750–$3,000+/month</w:t>
            </w:r>
          </w:p>
        </w:tc>
        <w:tc>
          <w:tcPr>
            <w:tcW w:type="dxa" w:w="2541"/>
            <w:tcMar>
              <w:top w:w="90" w:type="dxa"/>
              <w:start w:w="100" w:type="dxa"/>
              <w:bottom w:w="90" w:type="dxa"/>
              <w:end w:w="100" w:type="dxa"/>
            </w:tcMar>
            <w:vAlign w:val="center"/>
          </w:tcPr>
          <w:p>
            <w:pPr>
              <w:spacing w:after="0"/>
            </w:pPr>
            <w:r>
              <w:rPr>
                <w:sz w:val="15"/>
              </w:rPr>
              <w:t>Recurring after deployment</w:t>
            </w:r>
          </w:p>
        </w:tc>
      </w:tr>
      <w:tr>
        <w:tc>
          <w:tcPr>
            <w:tcW w:type="dxa" w:w="2541"/>
            <w:tcMar>
              <w:top w:w="90" w:type="dxa"/>
              <w:start w:w="100" w:type="dxa"/>
              <w:bottom w:w="90" w:type="dxa"/>
              <w:end w:w="100" w:type="dxa"/>
            </w:tcMar>
            <w:vAlign w:val="center"/>
            <w:shd w:fill="F8FAFC"/>
          </w:tcPr>
          <w:p>
            <w:pPr>
              <w:spacing w:after="0"/>
            </w:pPr>
            <w:r>
              <w:rPr>
                <w:sz w:val="15"/>
              </w:rPr>
              <w:t>Agentic Business Starter</w:t>
            </w:r>
          </w:p>
        </w:tc>
        <w:tc>
          <w:tcPr>
            <w:tcW w:type="dxa" w:w="2541"/>
            <w:tcMar>
              <w:top w:w="90" w:type="dxa"/>
              <w:start w:w="100" w:type="dxa"/>
              <w:bottom w:w="90" w:type="dxa"/>
              <w:end w:w="100" w:type="dxa"/>
            </w:tcMar>
            <w:vAlign w:val="center"/>
            <w:shd w:fill="F8FAFC"/>
          </w:tcPr>
          <w:p>
            <w:pPr>
              <w:spacing w:after="0"/>
            </w:pPr>
            <w:r>
              <w:rPr>
                <w:sz w:val="15"/>
              </w:rPr>
              <w:t>Standardized, limited customization</w:t>
            </w:r>
          </w:p>
        </w:tc>
        <w:tc>
          <w:tcPr>
            <w:tcW w:type="dxa" w:w="2541"/>
            <w:tcMar>
              <w:top w:w="90" w:type="dxa"/>
              <w:start w:w="100" w:type="dxa"/>
              <w:bottom w:w="90" w:type="dxa"/>
              <w:end w:w="100" w:type="dxa"/>
            </w:tcMar>
            <w:vAlign w:val="center"/>
            <w:shd w:fill="F8FAFC"/>
          </w:tcPr>
          <w:p>
            <w:pPr>
              <w:spacing w:after="0"/>
            </w:pPr>
            <w:r>
              <w:rPr>
                <w:sz w:val="15"/>
              </w:rPr>
              <w:t>$499–$1,500</w:t>
            </w:r>
          </w:p>
        </w:tc>
        <w:tc>
          <w:tcPr>
            <w:tcW w:type="dxa" w:w="2541"/>
            <w:tcMar>
              <w:top w:w="90" w:type="dxa"/>
              <w:start w:w="100" w:type="dxa"/>
              <w:bottom w:w="90" w:type="dxa"/>
              <w:end w:w="100" w:type="dxa"/>
            </w:tcMar>
            <w:vAlign w:val="center"/>
            <w:shd w:fill="F8FAFC"/>
          </w:tcPr>
          <w:p>
            <w:pPr>
              <w:spacing w:after="0"/>
            </w:pPr>
            <w:r>
              <w:rPr>
                <w:sz w:val="15"/>
              </w:rPr>
              <w:t>SMB / entrepreneur branch</w:t>
            </w:r>
          </w:p>
        </w:tc>
      </w:tr>
    </w:tbl>
    <w:p>
      <w:pPr>
        <w:spacing w:after="20"/>
      </w:pPr>
    </w:p>
    <w:p>
      <w:r>
        <w:t>Audit credit policy: if the client purchases implementation within 30 days, the audit fee can be credited against the implementation price. This preserves a paid discovery process while reducing perceived duplication of cost.</w:t>
      </w:r>
    </w:p>
    <w:p>
      <w:pPr>
        <w:pStyle w:val="Heading1"/>
      </w:pPr>
      <w:r>
        <w:t>5. Audit as the commercial heart</w:t>
      </w:r>
    </w:p>
    <w:p>
      <w:r>
        <w:t>The audit is not a generic AI assessment. It converts operating reality into a prioritized investment plan. It should identify people, processes, tools, time consumed, bottlenecks, error points, delays, revenue leakage, data availability, decision boundaries and candidate responsibilities for agents.</w:t>
      </w:r>
    </w:p>
    <w:p>
      <w:pPr>
        <w:pStyle w:val="Heading2"/>
      </w:pPr>
      <w:r>
        <w:t>Required audit outputs</w:t>
      </w:r>
    </w:p>
    <w:p>
      <w:pPr>
        <w:pStyle w:val="ListBullet"/>
        <w:spacing w:after="40"/>
      </w:pPr>
      <w:r>
        <w:t>Executive summary and business objective.</w:t>
      </w:r>
    </w:p>
    <w:p>
      <w:pPr>
        <w:pStyle w:val="ListBullet"/>
        <w:spacing w:after="40"/>
      </w:pPr>
      <w:r>
        <w:t>Current-state process inventory and maps.</w:t>
      </w:r>
    </w:p>
    <w:p>
      <w:pPr>
        <w:pStyle w:val="ListBullet"/>
        <w:spacing w:after="40"/>
      </w:pPr>
      <w:r>
        <w:t>Classification: Human only / Automate / Agent-ready / Redesign first.</w:t>
      </w:r>
    </w:p>
    <w:p>
      <w:pPr>
        <w:pStyle w:val="ListBullet"/>
        <w:spacing w:after="40"/>
      </w:pPr>
      <w:r>
        <w:t>Agentic Opportunity Score for each candidate process.</w:t>
      </w:r>
    </w:p>
    <w:p>
      <w:pPr>
        <w:pStyle w:val="ListBullet"/>
        <w:spacing w:after="40"/>
      </w:pPr>
      <w:r>
        <w:t>Priority matrix based on impact, difficulty, risk and time-to-value.</w:t>
      </w:r>
    </w:p>
    <w:p>
      <w:pPr>
        <w:pStyle w:val="ListBullet"/>
        <w:spacing w:after="40"/>
      </w:pPr>
      <w:r>
        <w:t>Baseline economics: hours, labor cost, response time, backlog, errors and revenue leakage where measurable.</w:t>
      </w:r>
    </w:p>
    <w:p>
      <w:pPr>
        <w:pStyle w:val="ListBullet"/>
        <w:spacing w:after="40"/>
      </w:pPr>
      <w:r>
        <w:t>Recommended pilot with scope, controls, tools, expected KPIs and estimated ROI.</w:t>
      </w:r>
    </w:p>
    <w:p>
      <w:pPr>
        <w:pStyle w:val="ListBullet"/>
        <w:spacing w:after="40"/>
      </w:pPr>
      <w:r>
        <w:t>90-day implementation roadmap.</w:t>
      </w:r>
    </w:p>
    <w:p>
      <w:pPr>
        <w:pStyle w:val="Heading1"/>
      </w:pPr>
      <w:r>
        <w:t>6. Opportunity scoring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Dimension</w:t>
            </w:r>
          </w:p>
        </w:tc>
        <w:tc>
          <w:tcPr>
            <w:tcW w:type="dxa" w:w="3389"/>
            <w:shd w:fill="111827"/>
            <w:vAlign w:val="center"/>
            <w:tcMar>
              <w:top w:w="90" w:type="dxa"/>
              <w:start w:w="100" w:type="dxa"/>
              <w:bottom w:w="90" w:type="dxa"/>
              <w:end w:w="100" w:type="dxa"/>
            </w:tcMar>
          </w:tcPr>
          <w:p>
            <w:r>
              <w:rPr>
                <w:b/>
                <w:color w:val="FFFFFF"/>
                <w:sz w:val="16"/>
              </w:rPr>
              <w:t>What RH evaluates</w:t>
            </w:r>
          </w:p>
        </w:tc>
        <w:tc>
          <w:tcPr>
            <w:tcW w:type="dxa" w:w="3389"/>
            <w:shd w:fill="111827"/>
            <w:vAlign w:val="center"/>
            <w:tcMar>
              <w:top w:w="90" w:type="dxa"/>
              <w:start w:w="100" w:type="dxa"/>
              <w:bottom w:w="90" w:type="dxa"/>
              <w:end w:w="100" w:type="dxa"/>
            </w:tcMar>
          </w:tcPr>
          <w:p>
            <w:r>
              <w:rPr>
                <w:b/>
                <w:color w:val="FFFFFF"/>
                <w:sz w:val="16"/>
              </w:rPr>
              <w:t>Direction</w:t>
            </w:r>
          </w:p>
        </w:tc>
      </w:tr>
      <w:tr>
        <w:tc>
          <w:tcPr>
            <w:tcW w:type="dxa" w:w="3389"/>
            <w:tcMar>
              <w:top w:w="90" w:type="dxa"/>
              <w:start w:w="100" w:type="dxa"/>
              <w:bottom w:w="90" w:type="dxa"/>
              <w:end w:w="100" w:type="dxa"/>
            </w:tcMar>
            <w:vAlign w:val="center"/>
          </w:tcPr>
          <w:p>
            <w:pPr>
              <w:spacing w:after="0"/>
            </w:pPr>
            <w:r>
              <w:rPr>
                <w:sz w:val="15"/>
              </w:rPr>
              <w:t>Economic impact</w:t>
            </w:r>
          </w:p>
        </w:tc>
        <w:tc>
          <w:tcPr>
            <w:tcW w:type="dxa" w:w="3389"/>
            <w:tcMar>
              <w:top w:w="90" w:type="dxa"/>
              <w:start w:w="100" w:type="dxa"/>
              <w:bottom w:w="90" w:type="dxa"/>
              <w:end w:w="100" w:type="dxa"/>
            </w:tcMar>
            <w:vAlign w:val="center"/>
          </w:tcPr>
          <w:p>
            <w:pPr>
              <w:spacing w:after="0"/>
            </w:pPr>
            <w:r>
              <w:rPr>
                <w:sz w:val="15"/>
              </w:rPr>
              <w:t>Cost saved, capacity gained, revenue protected or created</w:t>
            </w:r>
          </w:p>
        </w:tc>
        <w:tc>
          <w:tcPr>
            <w:tcW w:type="dxa" w:w="3389"/>
            <w:tcMar>
              <w:top w:w="90" w:type="dxa"/>
              <w:start w:w="100" w:type="dxa"/>
              <w:bottom w:w="90" w:type="dxa"/>
              <w:end w:w="100" w:type="dxa"/>
            </w:tcMar>
            <w:vAlign w:val="center"/>
          </w:tcPr>
          <w:p>
            <w:pPr>
              <w:spacing w:after="0"/>
            </w:pPr>
            <w:r>
              <w:rPr>
                <w:sz w:val="15"/>
              </w:rPr>
              <w:t>Higher is better</w:t>
            </w:r>
          </w:p>
        </w:tc>
      </w:tr>
      <w:tr>
        <w:tc>
          <w:tcPr>
            <w:tcW w:type="dxa" w:w="3389"/>
            <w:tcMar>
              <w:top w:w="90" w:type="dxa"/>
              <w:start w:w="100" w:type="dxa"/>
              <w:bottom w:w="90" w:type="dxa"/>
              <w:end w:w="100" w:type="dxa"/>
            </w:tcMar>
            <w:vAlign w:val="center"/>
            <w:shd w:fill="F8FAFC"/>
          </w:tcPr>
          <w:p>
            <w:pPr>
              <w:spacing w:after="0"/>
            </w:pPr>
            <w:r>
              <w:rPr>
                <w:sz w:val="15"/>
              </w:rPr>
              <w:t>Frequency / volume</w:t>
            </w:r>
          </w:p>
        </w:tc>
        <w:tc>
          <w:tcPr>
            <w:tcW w:type="dxa" w:w="3389"/>
            <w:tcMar>
              <w:top w:w="90" w:type="dxa"/>
              <w:start w:w="100" w:type="dxa"/>
              <w:bottom w:w="90" w:type="dxa"/>
              <w:end w:w="100" w:type="dxa"/>
            </w:tcMar>
            <w:vAlign w:val="center"/>
            <w:shd w:fill="F8FAFC"/>
          </w:tcPr>
          <w:p>
            <w:pPr>
              <w:spacing w:after="0"/>
            </w:pPr>
            <w:r>
              <w:rPr>
                <w:sz w:val="15"/>
              </w:rPr>
              <w:t>How often the process occurs</w:t>
            </w:r>
          </w:p>
        </w:tc>
        <w:tc>
          <w:tcPr>
            <w:tcW w:type="dxa" w:w="3389"/>
            <w:tcMar>
              <w:top w:w="90" w:type="dxa"/>
              <w:start w:w="100" w:type="dxa"/>
              <w:bottom w:w="90" w:type="dxa"/>
              <w:end w:w="100" w:type="dxa"/>
            </w:tcMar>
            <w:vAlign w:val="center"/>
            <w:shd w:fill="F8FAFC"/>
          </w:tcPr>
          <w:p>
            <w:pPr>
              <w:spacing w:after="0"/>
            </w:pPr>
            <w:r>
              <w:rPr>
                <w:sz w:val="15"/>
              </w:rPr>
              <w:t>Higher is better</w:t>
            </w:r>
          </w:p>
        </w:tc>
      </w:tr>
      <w:tr>
        <w:tc>
          <w:tcPr>
            <w:tcW w:type="dxa" w:w="3389"/>
            <w:tcMar>
              <w:top w:w="90" w:type="dxa"/>
              <w:start w:w="100" w:type="dxa"/>
              <w:bottom w:w="90" w:type="dxa"/>
              <w:end w:w="100" w:type="dxa"/>
            </w:tcMar>
            <w:vAlign w:val="center"/>
          </w:tcPr>
          <w:p>
            <w:pPr>
              <w:spacing w:after="0"/>
            </w:pPr>
            <w:r>
              <w:rPr>
                <w:sz w:val="15"/>
              </w:rPr>
              <w:t>Repetitiveness</w:t>
            </w:r>
          </w:p>
        </w:tc>
        <w:tc>
          <w:tcPr>
            <w:tcW w:type="dxa" w:w="3389"/>
            <w:tcMar>
              <w:top w:w="90" w:type="dxa"/>
              <w:start w:w="100" w:type="dxa"/>
              <w:bottom w:w="90" w:type="dxa"/>
              <w:end w:w="100" w:type="dxa"/>
            </w:tcMar>
            <w:vAlign w:val="center"/>
          </w:tcPr>
          <w:p>
            <w:pPr>
              <w:spacing w:after="0"/>
            </w:pPr>
            <w:r>
              <w:rPr>
                <w:sz w:val="15"/>
              </w:rPr>
              <w:t>Consistency of inputs, steps and outputs</w:t>
            </w:r>
          </w:p>
        </w:tc>
        <w:tc>
          <w:tcPr>
            <w:tcW w:type="dxa" w:w="3389"/>
            <w:tcMar>
              <w:top w:w="90" w:type="dxa"/>
              <w:start w:w="100" w:type="dxa"/>
              <w:bottom w:w="90" w:type="dxa"/>
              <w:end w:w="100" w:type="dxa"/>
            </w:tcMar>
            <w:vAlign w:val="center"/>
          </w:tcPr>
          <w:p>
            <w:pPr>
              <w:spacing w:after="0"/>
            </w:pPr>
            <w:r>
              <w:rPr>
                <w:sz w:val="15"/>
              </w:rPr>
              <w:t>Higher is better</w:t>
            </w:r>
          </w:p>
        </w:tc>
      </w:tr>
      <w:tr>
        <w:tc>
          <w:tcPr>
            <w:tcW w:type="dxa" w:w="3389"/>
            <w:tcMar>
              <w:top w:w="90" w:type="dxa"/>
              <w:start w:w="100" w:type="dxa"/>
              <w:bottom w:w="90" w:type="dxa"/>
              <w:end w:w="100" w:type="dxa"/>
            </w:tcMar>
            <w:vAlign w:val="center"/>
            <w:shd w:fill="F8FAFC"/>
          </w:tcPr>
          <w:p>
            <w:pPr>
              <w:spacing w:after="0"/>
            </w:pPr>
            <w:r>
              <w:rPr>
                <w:sz w:val="15"/>
              </w:rPr>
              <w:t>Data availability</w:t>
            </w:r>
          </w:p>
        </w:tc>
        <w:tc>
          <w:tcPr>
            <w:tcW w:type="dxa" w:w="3389"/>
            <w:tcMar>
              <w:top w:w="90" w:type="dxa"/>
              <w:start w:w="100" w:type="dxa"/>
              <w:bottom w:w="90" w:type="dxa"/>
              <w:end w:w="100" w:type="dxa"/>
            </w:tcMar>
            <w:vAlign w:val="center"/>
            <w:shd w:fill="F8FAFC"/>
          </w:tcPr>
          <w:p>
            <w:pPr>
              <w:spacing w:after="0"/>
            </w:pPr>
            <w:r>
              <w:rPr>
                <w:sz w:val="15"/>
              </w:rPr>
              <w:t>Whether required information is digitally accessible</w:t>
            </w:r>
          </w:p>
        </w:tc>
        <w:tc>
          <w:tcPr>
            <w:tcW w:type="dxa" w:w="3389"/>
            <w:tcMar>
              <w:top w:w="90" w:type="dxa"/>
              <w:start w:w="100" w:type="dxa"/>
              <w:bottom w:w="90" w:type="dxa"/>
              <w:end w:w="100" w:type="dxa"/>
            </w:tcMar>
            <w:vAlign w:val="center"/>
            <w:shd w:fill="F8FAFC"/>
          </w:tcPr>
          <w:p>
            <w:pPr>
              <w:spacing w:after="0"/>
            </w:pPr>
            <w:r>
              <w:rPr>
                <w:sz w:val="15"/>
              </w:rPr>
              <w:t>Higher is better</w:t>
            </w:r>
          </w:p>
        </w:tc>
      </w:tr>
      <w:tr>
        <w:tc>
          <w:tcPr>
            <w:tcW w:type="dxa" w:w="3389"/>
            <w:tcMar>
              <w:top w:w="90" w:type="dxa"/>
              <w:start w:w="100" w:type="dxa"/>
              <w:bottom w:w="90" w:type="dxa"/>
              <w:end w:w="100" w:type="dxa"/>
            </w:tcMar>
            <w:vAlign w:val="center"/>
          </w:tcPr>
          <w:p>
            <w:pPr>
              <w:spacing w:after="0"/>
            </w:pPr>
            <w:r>
              <w:rPr>
                <w:sz w:val="15"/>
              </w:rPr>
              <w:t>Rule clarity</w:t>
            </w:r>
          </w:p>
        </w:tc>
        <w:tc>
          <w:tcPr>
            <w:tcW w:type="dxa" w:w="3389"/>
            <w:tcMar>
              <w:top w:w="90" w:type="dxa"/>
              <w:start w:w="100" w:type="dxa"/>
              <w:bottom w:w="90" w:type="dxa"/>
              <w:end w:w="100" w:type="dxa"/>
            </w:tcMar>
            <w:vAlign w:val="center"/>
          </w:tcPr>
          <w:p>
            <w:pPr>
              <w:spacing w:after="0"/>
            </w:pPr>
            <w:r>
              <w:rPr>
                <w:sz w:val="15"/>
              </w:rPr>
              <w:t>Whether acceptable actions can be defined</w:t>
            </w:r>
          </w:p>
        </w:tc>
        <w:tc>
          <w:tcPr>
            <w:tcW w:type="dxa" w:w="3389"/>
            <w:tcMar>
              <w:top w:w="90" w:type="dxa"/>
              <w:start w:w="100" w:type="dxa"/>
              <w:bottom w:w="90" w:type="dxa"/>
              <w:end w:w="100" w:type="dxa"/>
            </w:tcMar>
            <w:vAlign w:val="center"/>
          </w:tcPr>
          <w:p>
            <w:pPr>
              <w:spacing w:after="0"/>
            </w:pPr>
            <w:r>
              <w:rPr>
                <w:sz w:val="15"/>
              </w:rPr>
              <w:t>Higher is better</w:t>
            </w:r>
          </w:p>
        </w:tc>
      </w:tr>
      <w:tr>
        <w:tc>
          <w:tcPr>
            <w:tcW w:type="dxa" w:w="3389"/>
            <w:tcMar>
              <w:top w:w="90" w:type="dxa"/>
              <w:start w:w="100" w:type="dxa"/>
              <w:bottom w:w="90" w:type="dxa"/>
              <w:end w:w="100" w:type="dxa"/>
            </w:tcMar>
            <w:vAlign w:val="center"/>
            <w:shd w:fill="F8FAFC"/>
          </w:tcPr>
          <w:p>
            <w:pPr>
              <w:spacing w:after="0"/>
            </w:pPr>
            <w:r>
              <w:rPr>
                <w:sz w:val="15"/>
              </w:rPr>
              <w:t>Human judgment</w:t>
            </w:r>
          </w:p>
        </w:tc>
        <w:tc>
          <w:tcPr>
            <w:tcW w:type="dxa" w:w="3389"/>
            <w:tcMar>
              <w:top w:w="90" w:type="dxa"/>
              <w:start w:w="100" w:type="dxa"/>
              <w:bottom w:w="90" w:type="dxa"/>
              <w:end w:w="100" w:type="dxa"/>
            </w:tcMar>
            <w:vAlign w:val="center"/>
            <w:shd w:fill="F8FAFC"/>
          </w:tcPr>
          <w:p>
            <w:pPr>
              <w:spacing w:after="0"/>
            </w:pPr>
            <w:r>
              <w:rPr>
                <w:sz w:val="15"/>
              </w:rPr>
              <w:t>Need for subjective/professional decisions</w:t>
            </w:r>
          </w:p>
        </w:tc>
        <w:tc>
          <w:tcPr>
            <w:tcW w:type="dxa" w:w="3389"/>
            <w:tcMar>
              <w:top w:w="90" w:type="dxa"/>
              <w:start w:w="100" w:type="dxa"/>
              <w:bottom w:w="90" w:type="dxa"/>
              <w:end w:w="100" w:type="dxa"/>
            </w:tcMar>
            <w:vAlign w:val="center"/>
            <w:shd w:fill="F8FAFC"/>
          </w:tcPr>
          <w:p>
            <w:pPr>
              <w:spacing w:after="0"/>
            </w:pPr>
            <w:r>
              <w:rPr>
                <w:sz w:val="15"/>
              </w:rPr>
              <w:t>Lower is better for autonomy</w:t>
            </w:r>
          </w:p>
        </w:tc>
      </w:tr>
      <w:tr>
        <w:tc>
          <w:tcPr>
            <w:tcW w:type="dxa" w:w="3389"/>
            <w:tcMar>
              <w:top w:w="90" w:type="dxa"/>
              <w:start w:w="100" w:type="dxa"/>
              <w:bottom w:w="90" w:type="dxa"/>
              <w:end w:w="100" w:type="dxa"/>
            </w:tcMar>
            <w:vAlign w:val="center"/>
          </w:tcPr>
          <w:p>
            <w:pPr>
              <w:spacing w:after="0"/>
            </w:pPr>
            <w:r>
              <w:rPr>
                <w:sz w:val="15"/>
              </w:rPr>
              <w:t>Error cost</w:t>
            </w:r>
          </w:p>
        </w:tc>
        <w:tc>
          <w:tcPr>
            <w:tcW w:type="dxa" w:w="3389"/>
            <w:tcMar>
              <w:top w:w="90" w:type="dxa"/>
              <w:start w:w="100" w:type="dxa"/>
              <w:bottom w:w="90" w:type="dxa"/>
              <w:end w:w="100" w:type="dxa"/>
            </w:tcMar>
            <w:vAlign w:val="center"/>
          </w:tcPr>
          <w:p>
            <w:pPr>
              <w:spacing w:after="0"/>
            </w:pPr>
            <w:r>
              <w:rPr>
                <w:sz w:val="15"/>
              </w:rPr>
              <w:t>Consequence of incorrect action</w:t>
            </w:r>
          </w:p>
        </w:tc>
        <w:tc>
          <w:tcPr>
            <w:tcW w:type="dxa" w:w="3389"/>
            <w:tcMar>
              <w:top w:w="90" w:type="dxa"/>
              <w:start w:w="100" w:type="dxa"/>
              <w:bottom w:w="90" w:type="dxa"/>
              <w:end w:w="100" w:type="dxa"/>
            </w:tcMar>
            <w:vAlign w:val="center"/>
          </w:tcPr>
          <w:p>
            <w:pPr>
              <w:spacing w:after="0"/>
            </w:pPr>
            <w:r>
              <w:rPr>
                <w:sz w:val="15"/>
              </w:rPr>
              <w:t>Lower favors autonomous execution</w:t>
            </w:r>
          </w:p>
        </w:tc>
      </w:tr>
      <w:tr>
        <w:tc>
          <w:tcPr>
            <w:tcW w:type="dxa" w:w="3389"/>
            <w:tcMar>
              <w:top w:w="90" w:type="dxa"/>
              <w:start w:w="100" w:type="dxa"/>
              <w:bottom w:w="90" w:type="dxa"/>
              <w:end w:w="100" w:type="dxa"/>
            </w:tcMar>
            <w:vAlign w:val="center"/>
            <w:shd w:fill="F8FAFC"/>
          </w:tcPr>
          <w:p>
            <w:pPr>
              <w:spacing w:after="0"/>
            </w:pPr>
            <w:r>
              <w:rPr>
                <w:sz w:val="15"/>
              </w:rPr>
              <w:t>Implementation difficulty</w:t>
            </w:r>
          </w:p>
        </w:tc>
        <w:tc>
          <w:tcPr>
            <w:tcW w:type="dxa" w:w="3389"/>
            <w:tcMar>
              <w:top w:w="90" w:type="dxa"/>
              <w:start w:w="100" w:type="dxa"/>
              <w:bottom w:w="90" w:type="dxa"/>
              <w:end w:w="100" w:type="dxa"/>
            </w:tcMar>
            <w:vAlign w:val="center"/>
            <w:shd w:fill="F8FAFC"/>
          </w:tcPr>
          <w:p>
            <w:pPr>
              <w:spacing w:after="0"/>
            </w:pPr>
            <w:r>
              <w:rPr>
                <w:sz w:val="15"/>
              </w:rPr>
              <w:t>Integrations, systems and exceptions</w:t>
            </w:r>
          </w:p>
        </w:tc>
        <w:tc>
          <w:tcPr>
            <w:tcW w:type="dxa" w:w="3389"/>
            <w:tcMar>
              <w:top w:w="90" w:type="dxa"/>
              <w:start w:w="100" w:type="dxa"/>
              <w:bottom w:w="90" w:type="dxa"/>
              <w:end w:w="100" w:type="dxa"/>
            </w:tcMar>
            <w:vAlign w:val="center"/>
            <w:shd w:fill="F8FAFC"/>
          </w:tcPr>
          <w:p>
            <w:pPr>
              <w:spacing w:after="0"/>
            </w:pPr>
            <w:r>
              <w:rPr>
                <w:sz w:val="15"/>
              </w:rPr>
              <w:t>Lower is better</w:t>
            </w:r>
          </w:p>
        </w:tc>
      </w:tr>
      <w:tr>
        <w:tc>
          <w:tcPr>
            <w:tcW w:type="dxa" w:w="3389"/>
            <w:tcMar>
              <w:top w:w="90" w:type="dxa"/>
              <w:start w:w="100" w:type="dxa"/>
              <w:bottom w:w="90" w:type="dxa"/>
              <w:end w:w="100" w:type="dxa"/>
            </w:tcMar>
            <w:vAlign w:val="center"/>
          </w:tcPr>
          <w:p>
            <w:pPr>
              <w:spacing w:after="0"/>
            </w:pPr>
            <w:r>
              <w:rPr>
                <w:sz w:val="15"/>
              </w:rPr>
              <w:t>Time-to-value</w:t>
            </w:r>
          </w:p>
        </w:tc>
        <w:tc>
          <w:tcPr>
            <w:tcW w:type="dxa" w:w="3389"/>
            <w:tcMar>
              <w:top w:w="90" w:type="dxa"/>
              <w:start w:w="100" w:type="dxa"/>
              <w:bottom w:w="90" w:type="dxa"/>
              <w:end w:w="100" w:type="dxa"/>
            </w:tcMar>
            <w:vAlign w:val="center"/>
          </w:tcPr>
          <w:p>
            <w:pPr>
              <w:spacing w:after="0"/>
            </w:pPr>
            <w:r>
              <w:rPr>
                <w:sz w:val="15"/>
              </w:rPr>
              <w:t>Time until measurable benefit</w:t>
            </w:r>
          </w:p>
        </w:tc>
        <w:tc>
          <w:tcPr>
            <w:tcW w:type="dxa" w:w="3389"/>
            <w:tcMar>
              <w:top w:w="90" w:type="dxa"/>
              <w:start w:w="100" w:type="dxa"/>
              <w:bottom w:w="90" w:type="dxa"/>
              <w:end w:w="100" w:type="dxa"/>
            </w:tcMar>
            <w:vAlign w:val="center"/>
          </w:tcPr>
          <w:p>
            <w:pPr>
              <w:spacing w:after="0"/>
            </w:pPr>
            <w:r>
              <w:rPr>
                <w:sz w:val="15"/>
              </w:rPr>
              <w:t>Shorter is better</w:t>
            </w:r>
          </w:p>
        </w:tc>
      </w:tr>
    </w:tbl>
    <w:p>
      <w:pPr>
        <w:spacing w:after="20"/>
      </w:pPr>
    </w:p>
    <w:p>
      <w:r>
        <w:t>The score ranks opportunities; it does not override risk. High-impact processes with high professional judgment or error cost remain human-controlled or approval-gated.</w:t>
      </w:r>
    </w:p>
    <w:p>
      <w:pPr>
        <w:pStyle w:val="Heading1"/>
      </w:pPr>
      <w:r>
        <w:t>7. Initial vertical strategy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Mar>
              <w:top w:w="90" w:type="dxa"/>
              <w:start w:w="100" w:type="dxa"/>
              <w:bottom w:w="90" w:type="dxa"/>
              <w:end w:w="100" w:type="dxa"/>
            </w:tcMar>
          </w:tcPr>
          <w:p>
            <w:r>
              <w:rPr>
                <w:b/>
                <w:color w:val="FFFFFF"/>
                <w:sz w:val="16"/>
              </w:rPr>
              <w:t>Priority</w:t>
            </w:r>
          </w:p>
        </w:tc>
        <w:tc>
          <w:tcPr>
            <w:tcW w:type="dxa" w:w="2541"/>
            <w:shd w:fill="111827"/>
            <w:vAlign w:val="center"/>
            <w:tcMar>
              <w:top w:w="90" w:type="dxa"/>
              <w:start w:w="100" w:type="dxa"/>
              <w:bottom w:w="90" w:type="dxa"/>
              <w:end w:w="100" w:type="dxa"/>
            </w:tcMar>
          </w:tcPr>
          <w:p>
            <w:r>
              <w:rPr>
                <w:b/>
                <w:color w:val="FFFFFF"/>
                <w:sz w:val="16"/>
              </w:rPr>
              <w:t>Vertical</w:t>
            </w:r>
          </w:p>
        </w:tc>
        <w:tc>
          <w:tcPr>
            <w:tcW w:type="dxa" w:w="2541"/>
            <w:shd w:fill="111827"/>
            <w:vAlign w:val="center"/>
            <w:tcMar>
              <w:top w:w="90" w:type="dxa"/>
              <w:start w:w="100" w:type="dxa"/>
              <w:bottom w:w="90" w:type="dxa"/>
              <w:end w:w="100" w:type="dxa"/>
            </w:tcMar>
          </w:tcPr>
          <w:p>
            <w:r>
              <w:rPr>
                <w:b/>
                <w:color w:val="FFFFFF"/>
                <w:sz w:val="16"/>
              </w:rPr>
              <w:t>Why it fits</w:t>
            </w:r>
          </w:p>
        </w:tc>
        <w:tc>
          <w:tcPr>
            <w:tcW w:type="dxa" w:w="2541"/>
            <w:shd w:fill="111827"/>
            <w:vAlign w:val="center"/>
            <w:tcMar>
              <w:top w:w="90" w:type="dxa"/>
              <w:start w:w="100" w:type="dxa"/>
              <w:bottom w:w="90" w:type="dxa"/>
              <w:end w:w="100" w:type="dxa"/>
            </w:tcMar>
          </w:tcPr>
          <w:p>
            <w:r>
              <w:rPr>
                <w:b/>
                <w:color w:val="FFFFFF"/>
                <w:sz w:val="16"/>
              </w:rPr>
              <w:t>Initial agentic responsibilities</w:t>
            </w:r>
          </w:p>
        </w:tc>
      </w:tr>
      <w:tr>
        <w:tc>
          <w:tcPr>
            <w:tcW w:type="dxa" w:w="2541"/>
            <w:tcMar>
              <w:top w:w="90" w:type="dxa"/>
              <w:start w:w="100" w:type="dxa"/>
              <w:bottom w:w="90" w:type="dxa"/>
              <w:end w:w="100" w:type="dxa"/>
            </w:tcMar>
            <w:vAlign w:val="center"/>
          </w:tcPr>
          <w:p>
            <w:pPr>
              <w:spacing w:after="0"/>
            </w:pPr>
            <w:r>
              <w:rPr>
                <w:sz w:val="15"/>
              </w:rPr>
              <w:t>1</w:t>
            </w:r>
          </w:p>
        </w:tc>
        <w:tc>
          <w:tcPr>
            <w:tcW w:type="dxa" w:w="2541"/>
            <w:tcMar>
              <w:top w:w="90" w:type="dxa"/>
              <w:start w:w="100" w:type="dxa"/>
              <w:bottom w:w="90" w:type="dxa"/>
              <w:end w:w="100" w:type="dxa"/>
            </w:tcMar>
            <w:vAlign w:val="center"/>
          </w:tcPr>
          <w:p>
            <w:pPr>
              <w:spacing w:after="0"/>
            </w:pPr>
            <w:r>
              <w:rPr>
                <w:sz w:val="15"/>
              </w:rPr>
              <w:t>Contractors / Home Services</w:t>
            </w:r>
          </w:p>
        </w:tc>
        <w:tc>
          <w:tcPr>
            <w:tcW w:type="dxa" w:w="2541"/>
            <w:tcMar>
              <w:top w:w="90" w:type="dxa"/>
              <w:start w:w="100" w:type="dxa"/>
              <w:bottom w:w="90" w:type="dxa"/>
              <w:end w:w="100" w:type="dxa"/>
            </w:tcMar>
            <w:vAlign w:val="center"/>
          </w:tcPr>
          <w:p>
            <w:pPr>
              <w:spacing w:after="0"/>
            </w:pPr>
            <w:r>
              <w:rPr>
                <w:sz w:val="15"/>
              </w:rPr>
              <w:t>Expensive leads, missed calls, estimates, scheduling and repetitive follow-up</w:t>
            </w:r>
          </w:p>
        </w:tc>
        <w:tc>
          <w:tcPr>
            <w:tcW w:type="dxa" w:w="2541"/>
            <w:tcMar>
              <w:top w:w="90" w:type="dxa"/>
              <w:start w:w="100" w:type="dxa"/>
              <w:bottom w:w="90" w:type="dxa"/>
              <w:end w:w="100" w:type="dxa"/>
            </w:tcMar>
            <w:vAlign w:val="center"/>
          </w:tcPr>
          <w:p>
            <w:pPr>
              <w:spacing w:after="0"/>
            </w:pPr>
            <w:r>
              <w:rPr>
                <w:sz w:val="15"/>
              </w:rPr>
              <w:t>Lead response, missed-call recovery, estimate follow-up, scheduling, reviews, operations monitoring</w:t>
            </w:r>
          </w:p>
        </w:tc>
      </w:tr>
      <w:tr>
        <w:tc>
          <w:tcPr>
            <w:tcW w:type="dxa" w:w="2541"/>
            <w:tcMar>
              <w:top w:w="90" w:type="dxa"/>
              <w:start w:w="100" w:type="dxa"/>
              <w:bottom w:w="90" w:type="dxa"/>
              <w:end w:w="100" w:type="dxa"/>
            </w:tcMar>
            <w:vAlign w:val="center"/>
            <w:shd w:fill="F8FAFC"/>
          </w:tcPr>
          <w:p>
            <w:pPr>
              <w:spacing w:after="0"/>
            </w:pPr>
            <w:r>
              <w:rPr>
                <w:sz w:val="15"/>
              </w:rPr>
              <w:t>2</w:t>
            </w:r>
          </w:p>
        </w:tc>
        <w:tc>
          <w:tcPr>
            <w:tcW w:type="dxa" w:w="2541"/>
            <w:tcMar>
              <w:top w:w="90" w:type="dxa"/>
              <w:start w:w="100" w:type="dxa"/>
              <w:bottom w:w="90" w:type="dxa"/>
              <w:end w:w="100" w:type="dxa"/>
            </w:tcMar>
            <w:vAlign w:val="center"/>
            <w:shd w:fill="F8FAFC"/>
          </w:tcPr>
          <w:p>
            <w:pPr>
              <w:spacing w:after="0"/>
            </w:pPr>
            <w:r>
              <w:rPr>
                <w:sz w:val="15"/>
              </w:rPr>
              <w:t>Beauty / Medium-size salons</w:t>
            </w:r>
          </w:p>
        </w:tc>
        <w:tc>
          <w:tcPr>
            <w:tcW w:type="dxa" w:w="2541"/>
            <w:tcMar>
              <w:top w:w="90" w:type="dxa"/>
              <w:start w:w="100" w:type="dxa"/>
              <w:bottom w:w="90" w:type="dxa"/>
              <w:end w:w="100" w:type="dxa"/>
            </w:tcMar>
            <w:vAlign w:val="center"/>
            <w:shd w:fill="F8FAFC"/>
          </w:tcPr>
          <w:p>
            <w:pPr>
              <w:spacing w:after="0"/>
            </w:pPr>
            <w:r>
              <w:rPr>
                <w:sz w:val="15"/>
              </w:rPr>
              <w:t>High booking volume, no-shows, reactivation and recurring clients with lower regulatory complexity</w:t>
            </w:r>
          </w:p>
        </w:tc>
        <w:tc>
          <w:tcPr>
            <w:tcW w:type="dxa" w:w="2541"/>
            <w:tcMar>
              <w:top w:w="90" w:type="dxa"/>
              <w:start w:w="100" w:type="dxa"/>
              <w:bottom w:w="90" w:type="dxa"/>
              <w:end w:w="100" w:type="dxa"/>
            </w:tcMar>
            <w:vAlign w:val="center"/>
            <w:shd w:fill="F8FAFC"/>
          </w:tcPr>
          <w:p>
            <w:pPr>
              <w:spacing w:after="0"/>
            </w:pPr>
            <w:r>
              <w:rPr>
                <w:sz w:val="15"/>
              </w:rPr>
              <w:t>Booking, cancellation recovery, reactivation, review requests, operational reminders, reporting</w:t>
            </w:r>
          </w:p>
        </w:tc>
      </w:tr>
      <w:tr>
        <w:tc>
          <w:tcPr>
            <w:tcW w:type="dxa" w:w="2541"/>
            <w:tcMar>
              <w:top w:w="90" w:type="dxa"/>
              <w:start w:w="100" w:type="dxa"/>
              <w:bottom w:w="90" w:type="dxa"/>
              <w:end w:w="100" w:type="dxa"/>
            </w:tcMar>
            <w:vAlign w:val="center"/>
          </w:tcPr>
          <w:p>
            <w:pPr>
              <w:spacing w:after="0"/>
            </w:pPr>
            <w:r>
              <w:rPr>
                <w:sz w:val="15"/>
              </w:rPr>
              <w:t>3</w:t>
            </w:r>
          </w:p>
        </w:tc>
        <w:tc>
          <w:tcPr>
            <w:tcW w:type="dxa" w:w="2541"/>
            <w:tcMar>
              <w:top w:w="90" w:type="dxa"/>
              <w:start w:w="100" w:type="dxa"/>
              <w:bottom w:w="90" w:type="dxa"/>
              <w:end w:w="100" w:type="dxa"/>
            </w:tcMar>
            <w:vAlign w:val="center"/>
          </w:tcPr>
          <w:p>
            <w:pPr>
              <w:spacing w:after="0"/>
            </w:pPr>
            <w:r>
              <w:rPr>
                <w:sz w:val="15"/>
              </w:rPr>
              <w:t>Legal / Paralegal administration</w:t>
            </w:r>
          </w:p>
        </w:tc>
        <w:tc>
          <w:tcPr>
            <w:tcW w:type="dxa" w:w="2541"/>
            <w:tcMar>
              <w:top w:w="90" w:type="dxa"/>
              <w:start w:w="100" w:type="dxa"/>
              <w:bottom w:w="90" w:type="dxa"/>
              <w:end w:w="100" w:type="dxa"/>
            </w:tcMar>
            <w:vAlign w:val="center"/>
          </w:tcPr>
          <w:p>
            <w:pPr>
              <w:spacing w:after="0"/>
            </w:pPr>
            <w:r>
              <w:rPr>
                <w:sz w:val="15"/>
              </w:rPr>
              <w:t>Document-heavy and deadline-heavy operations with valuable administrative time</w:t>
            </w:r>
          </w:p>
        </w:tc>
        <w:tc>
          <w:tcPr>
            <w:tcW w:type="dxa" w:w="2541"/>
            <w:tcMar>
              <w:top w:w="90" w:type="dxa"/>
              <w:start w:w="100" w:type="dxa"/>
              <w:bottom w:w="90" w:type="dxa"/>
              <w:end w:w="100" w:type="dxa"/>
            </w:tcMar>
            <w:vAlign w:val="center"/>
          </w:tcPr>
          <w:p>
            <w:pPr>
              <w:spacing w:after="0"/>
            </w:pPr>
            <w:r>
              <w:rPr>
                <w:sz w:val="15"/>
              </w:rPr>
              <w:t>Intake, document collection, appointments, verified case-status updates, reminders, billing/admin monitoring</w:t>
            </w:r>
          </w:p>
        </w:tc>
      </w:tr>
      <w:tr>
        <w:tc>
          <w:tcPr>
            <w:tcW w:type="dxa" w:w="2541"/>
            <w:tcMar>
              <w:top w:w="90" w:type="dxa"/>
              <w:start w:w="100" w:type="dxa"/>
              <w:bottom w:w="90" w:type="dxa"/>
              <w:end w:w="100" w:type="dxa"/>
            </w:tcMar>
            <w:vAlign w:val="center"/>
            <w:shd w:fill="F8FAFC"/>
          </w:tcPr>
          <w:p>
            <w:pPr>
              <w:spacing w:after="0"/>
            </w:pPr>
            <w:r>
              <w:rPr>
                <w:sz w:val="15"/>
              </w:rPr>
              <w:t>4</w:t>
            </w:r>
          </w:p>
        </w:tc>
        <w:tc>
          <w:tcPr>
            <w:tcW w:type="dxa" w:w="2541"/>
            <w:tcMar>
              <w:top w:w="90" w:type="dxa"/>
              <w:start w:w="100" w:type="dxa"/>
              <w:bottom w:w="90" w:type="dxa"/>
              <w:end w:w="100" w:type="dxa"/>
            </w:tcMar>
            <w:vAlign w:val="center"/>
            <w:shd w:fill="F8FAFC"/>
          </w:tcPr>
          <w:p>
            <w:pPr>
              <w:spacing w:after="0"/>
            </w:pPr>
            <w:r>
              <w:rPr>
                <w:sz w:val="15"/>
              </w:rPr>
              <w:t>Dental administration</w:t>
            </w:r>
          </w:p>
        </w:tc>
        <w:tc>
          <w:tcPr>
            <w:tcW w:type="dxa" w:w="2541"/>
            <w:tcMar>
              <w:top w:w="90" w:type="dxa"/>
              <w:start w:w="100" w:type="dxa"/>
              <w:bottom w:w="90" w:type="dxa"/>
              <w:end w:w="100" w:type="dxa"/>
            </w:tcMar>
            <w:vAlign w:val="center"/>
            <w:shd w:fill="F8FAFC"/>
          </w:tcPr>
          <w:p>
            <w:pPr>
              <w:spacing w:after="0"/>
            </w:pPr>
            <w:r>
              <w:rPr>
                <w:sz w:val="15"/>
              </w:rPr>
              <w:t>High front-desk workload and recurring scheduling processes</w:t>
            </w:r>
          </w:p>
        </w:tc>
        <w:tc>
          <w:tcPr>
            <w:tcW w:type="dxa" w:w="2541"/>
            <w:tcMar>
              <w:top w:w="90" w:type="dxa"/>
              <w:start w:w="100" w:type="dxa"/>
              <w:bottom w:w="90" w:type="dxa"/>
              <w:end w:w="100" w:type="dxa"/>
            </w:tcMar>
            <w:vAlign w:val="center"/>
            <w:shd w:fill="F8FAFC"/>
          </w:tcPr>
          <w:p>
            <w:pPr>
              <w:spacing w:after="0"/>
            </w:pPr>
            <w:r>
              <w:rPr>
                <w:sz w:val="15"/>
              </w:rPr>
              <w:t>Scheduling, recalls, confirmations, no-show recovery, forms, verified administrative updates, reviews</w:t>
            </w:r>
          </w:p>
        </w:tc>
      </w:tr>
    </w:tbl>
    <w:p>
      <w:pPr>
        <w:spacing w:after="20"/>
      </w:pPr>
    </w:p>
    <w:p>
      <w:r>
        <w:t>Real estate is intentionally not an initial RH vertical. Distribution should be built first; later RH can evaluate a commercial partnership with JP around existing real-estate developments or solutions rather than duplicating his domain work.</w:t>
      </w:r>
    </w:p>
    <w:p>
      <w:pPr>
        <w:pStyle w:val="Heading1"/>
      </w:pPr>
      <w:r>
        <w:t>8. Productization and scale</w:t>
      </w:r>
    </w:p>
    <w:p>
      <w:r>
        <w:t>The business only becomes meaningfully scalable if every deployment creates reusable intellectual property. Each project must leave behind standardized assets rather than only client-specific work.</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Reusable asset</w:t>
            </w:r>
          </w:p>
        </w:tc>
        <w:tc>
          <w:tcPr>
            <w:tcW w:type="dxa" w:w="5083"/>
            <w:shd w:fill="111827"/>
            <w:vAlign w:val="center"/>
            <w:tcMar>
              <w:top w:w="90" w:type="dxa"/>
              <w:start w:w="100" w:type="dxa"/>
              <w:bottom w:w="90" w:type="dxa"/>
              <w:end w:w="100" w:type="dxa"/>
            </w:tcMar>
          </w:tcPr>
          <w:p>
            <w:r>
              <w:rPr>
                <w:b/>
                <w:color w:val="FFFFFF"/>
                <w:sz w:val="17"/>
              </w:rPr>
              <w:t>Examples</w:t>
            </w:r>
          </w:p>
        </w:tc>
      </w:tr>
      <w:tr>
        <w:tc>
          <w:tcPr>
            <w:tcW w:type="dxa" w:w="5083"/>
            <w:tcMar>
              <w:top w:w="90" w:type="dxa"/>
              <w:start w:w="100" w:type="dxa"/>
              <w:bottom w:w="90" w:type="dxa"/>
              <w:end w:w="100" w:type="dxa"/>
            </w:tcMar>
            <w:vAlign w:val="center"/>
          </w:tcPr>
          <w:p>
            <w:pPr>
              <w:spacing w:after="0"/>
            </w:pPr>
            <w:r>
              <w:rPr>
                <w:sz w:val="16"/>
              </w:rPr>
              <w:t>Discovery</w:t>
            </w:r>
          </w:p>
        </w:tc>
        <w:tc>
          <w:tcPr>
            <w:tcW w:type="dxa" w:w="5083"/>
            <w:tcMar>
              <w:top w:w="90" w:type="dxa"/>
              <w:start w:w="100" w:type="dxa"/>
              <w:bottom w:w="90" w:type="dxa"/>
              <w:end w:w="100" w:type="dxa"/>
            </w:tcMar>
            <w:vAlign w:val="center"/>
          </w:tcPr>
          <w:p>
            <w:pPr>
              <w:spacing w:after="0"/>
            </w:pPr>
            <w:r>
              <w:rPr>
                <w:sz w:val="16"/>
              </w:rPr>
              <w:t>Qualification questions, industry discovery scripts</w:t>
            </w:r>
          </w:p>
        </w:tc>
      </w:tr>
      <w:tr>
        <w:tc>
          <w:tcPr>
            <w:tcW w:type="dxa" w:w="5083"/>
            <w:tcMar>
              <w:top w:w="90" w:type="dxa"/>
              <w:start w:w="100" w:type="dxa"/>
              <w:bottom w:w="90" w:type="dxa"/>
              <w:end w:w="100" w:type="dxa"/>
            </w:tcMar>
            <w:vAlign w:val="center"/>
            <w:shd w:fill="F8FAFC"/>
          </w:tcPr>
          <w:p>
            <w:pPr>
              <w:spacing w:after="0"/>
            </w:pPr>
            <w:r>
              <w:rPr>
                <w:sz w:val="16"/>
              </w:rPr>
              <w:t>Process design</w:t>
            </w:r>
          </w:p>
        </w:tc>
        <w:tc>
          <w:tcPr>
            <w:tcW w:type="dxa" w:w="5083"/>
            <w:tcMar>
              <w:top w:w="90" w:type="dxa"/>
              <w:start w:w="100" w:type="dxa"/>
              <w:bottom w:w="90" w:type="dxa"/>
              <w:end w:w="100" w:type="dxa"/>
            </w:tcMar>
            <w:vAlign w:val="center"/>
            <w:shd w:fill="F8FAFC"/>
          </w:tcPr>
          <w:p>
            <w:pPr>
              <w:spacing w:after="0"/>
            </w:pPr>
            <w:r>
              <w:rPr>
                <w:sz w:val="16"/>
              </w:rPr>
              <w:t>Current-state maps, target-state maps, decision matrices</w:t>
            </w:r>
          </w:p>
        </w:tc>
      </w:tr>
      <w:tr>
        <w:tc>
          <w:tcPr>
            <w:tcW w:type="dxa" w:w="5083"/>
            <w:tcMar>
              <w:top w:w="90" w:type="dxa"/>
              <w:start w:w="100" w:type="dxa"/>
              <w:bottom w:w="90" w:type="dxa"/>
              <w:end w:w="100" w:type="dxa"/>
            </w:tcMar>
            <w:vAlign w:val="center"/>
          </w:tcPr>
          <w:p>
            <w:pPr>
              <w:spacing w:after="0"/>
            </w:pPr>
            <w:r>
              <w:rPr>
                <w:sz w:val="16"/>
              </w:rPr>
              <w:t>Agent design</w:t>
            </w:r>
          </w:p>
        </w:tc>
        <w:tc>
          <w:tcPr>
            <w:tcW w:type="dxa" w:w="5083"/>
            <w:tcMar>
              <w:top w:w="90" w:type="dxa"/>
              <w:start w:w="100" w:type="dxa"/>
              <w:bottom w:w="90" w:type="dxa"/>
              <w:end w:w="100" w:type="dxa"/>
            </w:tcMar>
            <w:vAlign w:val="center"/>
          </w:tcPr>
          <w:p>
            <w:pPr>
              <w:spacing w:after="0"/>
            </w:pPr>
            <w:r>
              <w:rPr>
                <w:sz w:val="16"/>
              </w:rPr>
              <w:t>Role definitions, prompts, tools, permissions, escalation rules</w:t>
            </w:r>
          </w:p>
        </w:tc>
      </w:tr>
      <w:tr>
        <w:tc>
          <w:tcPr>
            <w:tcW w:type="dxa" w:w="5083"/>
            <w:tcMar>
              <w:top w:w="90" w:type="dxa"/>
              <w:start w:w="100" w:type="dxa"/>
              <w:bottom w:w="90" w:type="dxa"/>
              <w:end w:w="100" w:type="dxa"/>
            </w:tcMar>
            <w:vAlign w:val="center"/>
            <w:shd w:fill="F8FAFC"/>
          </w:tcPr>
          <w:p>
            <w:pPr>
              <w:spacing w:after="0"/>
            </w:pPr>
            <w:r>
              <w:rPr>
                <w:sz w:val="16"/>
              </w:rPr>
              <w:t>Deployment</w:t>
            </w:r>
          </w:p>
        </w:tc>
        <w:tc>
          <w:tcPr>
            <w:tcW w:type="dxa" w:w="5083"/>
            <w:tcMar>
              <w:top w:w="90" w:type="dxa"/>
              <w:start w:w="100" w:type="dxa"/>
              <w:bottom w:w="90" w:type="dxa"/>
              <w:end w:w="100" w:type="dxa"/>
            </w:tcMar>
            <w:vAlign w:val="center"/>
            <w:shd w:fill="F8FAFC"/>
          </w:tcPr>
          <w:p>
            <w:pPr>
              <w:spacing w:after="0"/>
            </w:pPr>
            <w:r>
              <w:rPr>
                <w:sz w:val="16"/>
              </w:rPr>
              <w:t>Integration recipes, QA tests, launch checklists, rollback procedures</w:t>
            </w:r>
          </w:p>
        </w:tc>
      </w:tr>
      <w:tr>
        <w:tc>
          <w:tcPr>
            <w:tcW w:type="dxa" w:w="5083"/>
            <w:tcMar>
              <w:top w:w="90" w:type="dxa"/>
              <w:start w:w="100" w:type="dxa"/>
              <w:bottom w:w="90" w:type="dxa"/>
              <w:end w:w="100" w:type="dxa"/>
            </w:tcMar>
            <w:vAlign w:val="center"/>
          </w:tcPr>
          <w:p>
            <w:pPr>
              <w:spacing w:after="0"/>
            </w:pPr>
            <w:r>
              <w:rPr>
                <w:sz w:val="16"/>
              </w:rPr>
              <w:t>Measurement</w:t>
            </w:r>
          </w:p>
        </w:tc>
        <w:tc>
          <w:tcPr>
            <w:tcW w:type="dxa" w:w="5083"/>
            <w:tcMar>
              <w:top w:w="90" w:type="dxa"/>
              <w:start w:w="100" w:type="dxa"/>
              <w:bottom w:w="90" w:type="dxa"/>
              <w:end w:w="100" w:type="dxa"/>
            </w:tcMar>
            <w:vAlign w:val="center"/>
          </w:tcPr>
          <w:p>
            <w:pPr>
              <w:spacing w:after="0"/>
            </w:pPr>
            <w:r>
              <w:rPr>
                <w:sz w:val="16"/>
              </w:rPr>
              <w:t>Baseline templates, ROI calculators, KPI dashboards</w:t>
            </w:r>
          </w:p>
        </w:tc>
      </w:tr>
      <w:tr>
        <w:tc>
          <w:tcPr>
            <w:tcW w:type="dxa" w:w="5083"/>
            <w:tcMar>
              <w:top w:w="90" w:type="dxa"/>
              <w:start w:w="100" w:type="dxa"/>
              <w:bottom w:w="90" w:type="dxa"/>
              <w:end w:w="100" w:type="dxa"/>
            </w:tcMar>
            <w:vAlign w:val="center"/>
            <w:shd w:fill="F8FAFC"/>
          </w:tcPr>
          <w:p>
            <w:pPr>
              <w:spacing w:after="0"/>
            </w:pPr>
            <w:r>
              <w:rPr>
                <w:sz w:val="16"/>
              </w:rPr>
              <w:t>Commercial</w:t>
            </w:r>
          </w:p>
        </w:tc>
        <w:tc>
          <w:tcPr>
            <w:tcW w:type="dxa" w:w="5083"/>
            <w:tcMar>
              <w:top w:w="90" w:type="dxa"/>
              <w:start w:w="100" w:type="dxa"/>
              <w:bottom w:w="90" w:type="dxa"/>
              <w:end w:w="100" w:type="dxa"/>
            </w:tcMar>
            <w:vAlign w:val="center"/>
            <w:shd w:fill="F8FAFC"/>
          </w:tcPr>
          <w:p>
            <w:pPr>
              <w:spacing w:after="0"/>
            </w:pPr>
            <w:r>
              <w:rPr>
                <w:sz w:val="16"/>
              </w:rPr>
              <w:t>Case studies, objections, pricing patterns, vertical-specific proposals</w:t>
            </w:r>
          </w:p>
        </w:tc>
      </w:tr>
    </w:tbl>
    <w:p>
      <w:pPr>
        <w:spacing w:after="20"/>
      </w:pPr>
    </w:p>
    <w:tbl>
      <w:tblPr>
        <w:tblW w:type="auto" w:w="0"/>
        <w:jc w:val="center"/>
        <w:tblLook w:firstColumn="1" w:firstRow="1" w:lastColumn="0" w:lastRow="0" w:noHBand="0" w:noVBand="1" w:val="04A0"/>
      </w:tblPr>
      <w:tblGrid>
        <w:gridCol w:w="10166"/>
      </w:tblGrid>
      <w:tr>
        <w:tc>
          <w:tcPr>
            <w:tcW w:type="dxa" w:w="10166"/>
            <w:shd w:fill="F1F5F9"/>
            <w:tcMar>
              <w:top w:w="140" w:type="dxa"/>
              <w:start w:w="170" w:type="dxa"/>
              <w:bottom w:w="140" w:type="dxa"/>
              <w:end w:w="170" w:type="dxa"/>
            </w:tcMar>
          </w:tcPr>
          <w:p>
            <w:r>
              <w:rPr>
                <w:b/>
                <w:color w:val="111827"/>
                <w:sz w:val="20"/>
              </w:rPr>
              <w:t>Scale target</w:t>
              <w:br/>
            </w:r>
            <w:r>
              <w:rPr>
                <w:sz w:val="18"/>
              </w:rPr>
              <w:t>Move toward 80% reusable / 20% custom. Any vertical that remains mostly bespoke after repeated delivery is not yet productized enough for paid acquisition at scale.</w:t>
            </w:r>
          </w:p>
        </w:tc>
      </w:tr>
    </w:tbl>
    <w:p>
      <w:pPr>
        <w:spacing w:after="20"/>
      </w:pPr>
    </w:p>
    <w:p>
      <w:pPr>
        <w:pStyle w:val="Heading1"/>
      </w:pPr>
      <w:r>
        <w:t>9. Distribution and sales engine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Channel</w:t>
            </w:r>
          </w:p>
        </w:tc>
        <w:tc>
          <w:tcPr>
            <w:tcW w:type="dxa" w:w="3389"/>
            <w:shd w:fill="111827"/>
            <w:vAlign w:val="center"/>
            <w:tcMar>
              <w:top w:w="90" w:type="dxa"/>
              <w:start w:w="100" w:type="dxa"/>
              <w:bottom w:w="90" w:type="dxa"/>
              <w:end w:w="100" w:type="dxa"/>
            </w:tcMar>
          </w:tcPr>
          <w:p>
            <w:r>
              <w:rPr>
                <w:b/>
                <w:color w:val="FFFFFF"/>
                <w:sz w:val="16"/>
              </w:rPr>
              <w:t>Role in strategy</w:t>
            </w:r>
          </w:p>
        </w:tc>
        <w:tc>
          <w:tcPr>
            <w:tcW w:type="dxa" w:w="3389"/>
            <w:shd w:fill="111827"/>
            <w:vAlign w:val="center"/>
            <w:tcMar>
              <w:top w:w="90" w:type="dxa"/>
              <w:start w:w="100" w:type="dxa"/>
              <w:bottom w:w="90" w:type="dxa"/>
              <w:end w:w="100" w:type="dxa"/>
            </w:tcMar>
          </w:tcPr>
          <w:p>
            <w:r>
              <w:rPr>
                <w:b/>
                <w:color w:val="FFFFFF"/>
                <w:sz w:val="16"/>
              </w:rPr>
              <w:t>When to scale</w:t>
            </w:r>
          </w:p>
        </w:tc>
      </w:tr>
      <w:tr>
        <w:tc>
          <w:tcPr>
            <w:tcW w:type="dxa" w:w="3389"/>
            <w:tcMar>
              <w:top w:w="90" w:type="dxa"/>
              <w:start w:w="100" w:type="dxa"/>
              <w:bottom w:w="90" w:type="dxa"/>
              <w:end w:w="100" w:type="dxa"/>
            </w:tcMar>
            <w:vAlign w:val="center"/>
          </w:tcPr>
          <w:p>
            <w:pPr>
              <w:spacing w:after="0"/>
            </w:pPr>
            <w:r>
              <w:rPr>
                <w:sz w:val="15"/>
              </w:rPr>
              <w:t>RH Instagram / Organic</w:t>
            </w:r>
          </w:p>
        </w:tc>
        <w:tc>
          <w:tcPr>
            <w:tcW w:type="dxa" w:w="3389"/>
            <w:tcMar>
              <w:top w:w="90" w:type="dxa"/>
              <w:start w:w="100" w:type="dxa"/>
              <w:bottom w:w="90" w:type="dxa"/>
              <w:end w:w="100" w:type="dxa"/>
            </w:tcMar>
            <w:vAlign w:val="center"/>
          </w:tcPr>
          <w:p>
            <w:pPr>
              <w:spacing w:after="0"/>
            </w:pPr>
            <w:r>
              <w:rPr>
                <w:sz w:val="15"/>
              </w:rPr>
              <w:t>Education, authority, lead magnets, Growth Products and Agentic demand</w:t>
            </w:r>
          </w:p>
        </w:tc>
        <w:tc>
          <w:tcPr>
            <w:tcW w:type="dxa" w:w="3389"/>
            <w:tcMar>
              <w:top w:w="90" w:type="dxa"/>
              <w:start w:w="100" w:type="dxa"/>
              <w:bottom w:w="90" w:type="dxa"/>
              <w:end w:w="100" w:type="dxa"/>
            </w:tcMar>
            <w:vAlign w:val="center"/>
          </w:tcPr>
          <w:p>
            <w:pPr>
              <w:spacing w:after="0"/>
            </w:pPr>
            <w:r>
              <w:rPr>
                <w:sz w:val="15"/>
              </w:rPr>
              <w:t>Immediately</w:t>
            </w:r>
          </w:p>
        </w:tc>
      </w:tr>
      <w:tr>
        <w:tc>
          <w:tcPr>
            <w:tcW w:type="dxa" w:w="3389"/>
            <w:tcMar>
              <w:top w:w="90" w:type="dxa"/>
              <w:start w:w="100" w:type="dxa"/>
              <w:bottom w:w="90" w:type="dxa"/>
              <w:end w:w="100" w:type="dxa"/>
            </w:tcMar>
            <w:vAlign w:val="center"/>
            <w:shd w:fill="F8FAFC"/>
          </w:tcPr>
          <w:p>
            <w:pPr>
              <w:spacing w:after="0"/>
            </w:pPr>
            <w:r>
              <w:rPr>
                <w:sz w:val="15"/>
              </w:rPr>
              <w:t>Miami / USA outbound</w:t>
            </w:r>
          </w:p>
        </w:tc>
        <w:tc>
          <w:tcPr>
            <w:tcW w:type="dxa" w:w="3389"/>
            <w:tcMar>
              <w:top w:w="90" w:type="dxa"/>
              <w:start w:w="100" w:type="dxa"/>
              <w:bottom w:w="90" w:type="dxa"/>
              <w:end w:w="100" w:type="dxa"/>
            </w:tcMar>
            <w:vAlign w:val="center"/>
            <w:shd w:fill="F8FAFC"/>
          </w:tcPr>
          <w:p>
            <w:pPr>
              <w:spacing w:after="0"/>
            </w:pPr>
            <w:r>
              <w:rPr>
                <w:sz w:val="15"/>
              </w:rPr>
              <w:t>Direct access to local SMB owners and high-ticket buyers</w:t>
            </w:r>
          </w:p>
        </w:tc>
        <w:tc>
          <w:tcPr>
            <w:tcW w:type="dxa" w:w="3389"/>
            <w:tcMar>
              <w:top w:w="90" w:type="dxa"/>
              <w:start w:w="100" w:type="dxa"/>
              <w:bottom w:w="90" w:type="dxa"/>
              <w:end w:w="100" w:type="dxa"/>
            </w:tcMar>
            <w:vAlign w:val="center"/>
            <w:shd w:fill="F8FAFC"/>
          </w:tcPr>
          <w:p>
            <w:pPr>
              <w:spacing w:after="0"/>
            </w:pPr>
            <w:r>
              <w:rPr>
                <w:sz w:val="15"/>
              </w:rPr>
              <w:t>Once audit + deck + proof are ready</w:t>
            </w:r>
          </w:p>
        </w:tc>
      </w:tr>
      <w:tr>
        <w:tc>
          <w:tcPr>
            <w:tcW w:type="dxa" w:w="3389"/>
            <w:tcMar>
              <w:top w:w="90" w:type="dxa"/>
              <w:start w:w="100" w:type="dxa"/>
              <w:bottom w:w="90" w:type="dxa"/>
              <w:end w:w="100" w:type="dxa"/>
            </w:tcMar>
            <w:vAlign w:val="center"/>
          </w:tcPr>
          <w:p>
            <w:pPr>
              <w:spacing w:after="0"/>
            </w:pPr>
            <w:r>
              <w:rPr>
                <w:sz w:val="15"/>
              </w:rPr>
              <w:t>Peru</w:t>
            </w:r>
          </w:p>
        </w:tc>
        <w:tc>
          <w:tcPr>
            <w:tcW w:type="dxa" w:w="3389"/>
            <w:tcMar>
              <w:top w:w="90" w:type="dxa"/>
              <w:start w:w="100" w:type="dxa"/>
              <w:bottom w:w="90" w:type="dxa"/>
              <w:end w:w="100" w:type="dxa"/>
            </w:tcMar>
            <w:vAlign w:val="center"/>
          </w:tcPr>
          <w:p>
            <w:pPr>
              <w:spacing w:after="0"/>
            </w:pPr>
            <w:r>
              <w:rPr>
                <w:sz w:val="15"/>
              </w:rPr>
              <w:t>Local sales and delivery using existing capable operator(s)</w:t>
            </w:r>
          </w:p>
        </w:tc>
        <w:tc>
          <w:tcPr>
            <w:tcW w:type="dxa" w:w="3389"/>
            <w:tcMar>
              <w:top w:w="90" w:type="dxa"/>
              <w:start w:w="100" w:type="dxa"/>
              <w:bottom w:w="90" w:type="dxa"/>
              <w:end w:w="100" w:type="dxa"/>
            </w:tcMar>
            <w:vAlign w:val="center"/>
          </w:tcPr>
          <w:p>
            <w:pPr>
              <w:spacing w:after="0"/>
            </w:pPr>
            <w:r>
              <w:rPr>
                <w:sz w:val="15"/>
              </w:rPr>
              <w:t>Immediately where capacity exists</w:t>
            </w:r>
          </w:p>
        </w:tc>
      </w:tr>
      <w:tr>
        <w:tc>
          <w:tcPr>
            <w:tcW w:type="dxa" w:w="3389"/>
            <w:tcMar>
              <w:top w:w="90" w:type="dxa"/>
              <w:start w:w="100" w:type="dxa"/>
              <w:bottom w:w="90" w:type="dxa"/>
              <w:end w:w="100" w:type="dxa"/>
            </w:tcMar>
            <w:vAlign w:val="center"/>
            <w:shd w:fill="F8FAFC"/>
          </w:tcPr>
          <w:p>
            <w:pPr>
              <w:spacing w:after="0"/>
            </w:pPr>
            <w:r>
              <w:rPr>
                <w:sz w:val="15"/>
              </w:rPr>
              <w:t>LatAm remote</w:t>
            </w:r>
          </w:p>
        </w:tc>
        <w:tc>
          <w:tcPr>
            <w:tcW w:type="dxa" w:w="3389"/>
            <w:tcMar>
              <w:top w:w="90" w:type="dxa"/>
              <w:start w:w="100" w:type="dxa"/>
              <w:bottom w:w="90" w:type="dxa"/>
              <w:end w:w="100" w:type="dxa"/>
            </w:tcMar>
            <w:vAlign w:val="center"/>
            <w:shd w:fill="F8FAFC"/>
          </w:tcPr>
          <w:p>
            <w:pPr>
              <w:spacing w:after="0"/>
            </w:pPr>
            <w:r>
              <w:rPr>
                <w:sz w:val="15"/>
              </w:rPr>
              <w:t>Commission-based reps / channel partners outside Peru</w:t>
            </w:r>
          </w:p>
        </w:tc>
        <w:tc>
          <w:tcPr>
            <w:tcW w:type="dxa" w:w="3389"/>
            <w:tcMar>
              <w:top w:w="90" w:type="dxa"/>
              <w:start w:w="100" w:type="dxa"/>
              <w:bottom w:w="90" w:type="dxa"/>
              <w:end w:w="100" w:type="dxa"/>
            </w:tcMar>
            <w:vAlign w:val="center"/>
            <w:shd w:fill="F8FAFC"/>
          </w:tcPr>
          <w:p>
            <w:pPr>
              <w:spacing w:after="0"/>
            </w:pPr>
            <w:r>
              <w:rPr>
                <w:sz w:val="15"/>
              </w:rPr>
              <w:t>After offer proves conversion</w:t>
            </w:r>
          </w:p>
        </w:tc>
      </w:tr>
      <w:tr>
        <w:tc>
          <w:tcPr>
            <w:tcW w:type="dxa" w:w="3389"/>
            <w:tcMar>
              <w:top w:w="90" w:type="dxa"/>
              <w:start w:w="100" w:type="dxa"/>
              <w:bottom w:w="90" w:type="dxa"/>
              <w:end w:w="100" w:type="dxa"/>
            </w:tcMar>
            <w:vAlign w:val="center"/>
          </w:tcPr>
          <w:p>
            <w:pPr>
              <w:spacing w:after="0"/>
            </w:pPr>
            <w:r>
              <w:rPr>
                <w:sz w:val="15"/>
              </w:rPr>
              <w:t>Partners</w:t>
            </w:r>
          </w:p>
        </w:tc>
        <w:tc>
          <w:tcPr>
            <w:tcW w:type="dxa" w:w="3389"/>
            <w:tcMar>
              <w:top w:w="90" w:type="dxa"/>
              <w:start w:w="100" w:type="dxa"/>
              <w:bottom w:w="90" w:type="dxa"/>
              <w:end w:w="100" w:type="dxa"/>
            </w:tcMar>
            <w:vAlign w:val="center"/>
          </w:tcPr>
          <w:p>
            <w:pPr>
              <w:spacing w:after="0"/>
            </w:pPr>
            <w:r>
              <w:rPr>
                <w:sz w:val="15"/>
              </w:rPr>
              <w:t>CPAs, IT firms, agencies, consultants and business advisors</w:t>
            </w:r>
          </w:p>
        </w:tc>
        <w:tc>
          <w:tcPr>
            <w:tcW w:type="dxa" w:w="3389"/>
            <w:tcMar>
              <w:top w:w="90" w:type="dxa"/>
              <w:start w:w="100" w:type="dxa"/>
              <w:bottom w:w="90" w:type="dxa"/>
              <w:end w:w="100" w:type="dxa"/>
            </w:tcMar>
            <w:vAlign w:val="center"/>
          </w:tcPr>
          <w:p>
            <w:pPr>
              <w:spacing w:after="0"/>
            </w:pPr>
            <w:r>
              <w:rPr>
                <w:sz w:val="15"/>
              </w:rPr>
              <w:t>After first repeatable case studies</w:t>
            </w:r>
          </w:p>
        </w:tc>
      </w:tr>
      <w:tr>
        <w:tc>
          <w:tcPr>
            <w:tcW w:type="dxa" w:w="3389"/>
            <w:tcMar>
              <w:top w:w="90" w:type="dxa"/>
              <w:start w:w="100" w:type="dxa"/>
              <w:bottom w:w="90" w:type="dxa"/>
              <w:end w:w="100" w:type="dxa"/>
            </w:tcMar>
            <w:vAlign w:val="center"/>
            <w:shd w:fill="F8FAFC"/>
          </w:tcPr>
          <w:p>
            <w:pPr>
              <w:spacing w:after="0"/>
            </w:pPr>
            <w:r>
              <w:rPr>
                <w:sz w:val="15"/>
              </w:rPr>
              <w:t>Paid ads</w:t>
            </w:r>
          </w:p>
        </w:tc>
        <w:tc>
          <w:tcPr>
            <w:tcW w:type="dxa" w:w="3389"/>
            <w:tcMar>
              <w:top w:w="90" w:type="dxa"/>
              <w:start w:w="100" w:type="dxa"/>
              <w:bottom w:w="90" w:type="dxa"/>
              <w:end w:w="100" w:type="dxa"/>
            </w:tcMar>
            <w:vAlign w:val="center"/>
            <w:shd w:fill="F8FAFC"/>
          </w:tcPr>
          <w:p>
            <w:pPr>
              <w:spacing w:after="0"/>
            </w:pPr>
            <w:r>
              <w:rPr>
                <w:sz w:val="15"/>
              </w:rPr>
              <w:t>Scale a known vertical + offer combination</w:t>
            </w:r>
          </w:p>
        </w:tc>
        <w:tc>
          <w:tcPr>
            <w:tcW w:type="dxa" w:w="3389"/>
            <w:tcMar>
              <w:top w:w="90" w:type="dxa"/>
              <w:start w:w="100" w:type="dxa"/>
              <w:bottom w:w="90" w:type="dxa"/>
              <w:end w:w="100" w:type="dxa"/>
            </w:tcMar>
            <w:vAlign w:val="center"/>
            <w:shd w:fill="F8FAFC"/>
          </w:tcPr>
          <w:p>
            <w:pPr>
              <w:spacing w:after="0"/>
            </w:pPr>
            <w:r>
              <w:rPr>
                <w:sz w:val="15"/>
              </w:rPr>
              <w:t>Only after conversion economics are known</w:t>
            </w:r>
          </w:p>
        </w:tc>
      </w:tr>
    </w:tbl>
    <w:p>
      <w:pPr>
        <w:spacing w:after="20"/>
      </w:pPr>
    </w:p>
    <w:p>
      <w:pPr>
        <w:pStyle w:val="Heading2"/>
      </w:pPr>
      <w:r>
        <w:t>US commercial role</w:t>
      </w:r>
    </w:p>
    <w:p>
      <w:r>
        <w:t>The first US sales hire should be a Business Development / Solutions Representative, not an AI engineer. English fluency is mandatory; bilingual is preferred. The role prospects, networks, runs structured discovery, sells the paid audit, presents proposals and closes with support from delivery. Compensation should initially protect fixed burn and reward closed revenue, with worker classification and commission structure reviewed correctly.</w:t>
      </w:r>
    </w:p>
    <w:p>
      <w:pPr>
        <w:pStyle w:val="Heading1"/>
      </w:pPr>
      <w:r>
        <w:t>10. Sales process and qualification</w:t>
      </w:r>
    </w:p>
    <w:p>
      <w:r>
        <w:t>Standard sales motion: Lead → 15-minute Fit Call → Paid Audit → Audit Presentation → Pilot or Deployment → 30-day Measurement → Optimization Retainer.</w:t>
      </w:r>
    </w:p>
    <w:p>
      <w:pPr>
        <w:pStyle w:val="Heading2"/>
      </w:pPr>
      <w:r>
        <w:t>Client qualification</w:t>
      </w:r>
    </w:p>
    <w:p>
      <w:pPr>
        <w:pStyle w:val="ListBullet"/>
        <w:spacing w:after="40"/>
      </w:pPr>
      <w:r>
        <w:t>Sufficient transaction/process volume to generate ROI.</w:t>
      </w:r>
    </w:p>
    <w:p>
      <w:pPr>
        <w:pStyle w:val="ListBullet"/>
        <w:spacing w:after="40"/>
      </w:pPr>
      <w:r>
        <w:t>Repeatable work with identifiable owners and inputs.</w:t>
      </w:r>
    </w:p>
    <w:p>
      <w:pPr>
        <w:pStyle w:val="ListBullet"/>
        <w:spacing w:after="40"/>
      </w:pPr>
      <w:r>
        <w:t>Meaningful business pain: time, cost, backlog, lost leads, slow response or errors.</w:t>
      </w:r>
    </w:p>
    <w:p>
      <w:pPr>
        <w:pStyle w:val="ListBullet"/>
        <w:spacing w:after="40"/>
      </w:pPr>
      <w:r>
        <w:t>Minimum digital maturity or willingness to digitize.</w:t>
      </w:r>
    </w:p>
    <w:p>
      <w:pPr>
        <w:pStyle w:val="ListBullet"/>
        <w:spacing w:after="40"/>
      </w:pPr>
      <w:r>
        <w:t>Accessible data and systems.</w:t>
      </w:r>
    </w:p>
    <w:p>
      <w:pPr>
        <w:pStyle w:val="ListBullet"/>
        <w:spacing w:after="40"/>
      </w:pPr>
      <w:r>
        <w:t>Management willingness to change processes and define approvals.</w:t>
      </w:r>
    </w:p>
    <w:p>
      <w:pPr>
        <w:pStyle w:val="ListBullet"/>
        <w:spacing w:after="40"/>
      </w:pPr>
      <w:r>
        <w:t>Economic capacity to purchase an audit and implementation.</w:t>
      </w:r>
    </w:p>
    <w:p>
      <w:pPr>
        <w:pStyle w:val="Heading1"/>
      </w:pPr>
      <w:r>
        <w:t>11. Delivery and control principles</w:t>
      </w:r>
    </w:p>
    <w:p>
      <w:pPr>
        <w:pStyle w:val="ListBullet"/>
        <w:spacing w:after="40"/>
      </w:pPr>
      <w:r>
        <w:t>Do not promise “headcount reduction” as the primary value proposition; sell capacity, responsiveness and execution leverage.</w:t>
      </w:r>
    </w:p>
    <w:p>
      <w:pPr>
        <w:pStyle w:val="ListBullet"/>
        <w:spacing w:after="40"/>
      </w:pPr>
      <w:r>
        <w:t>Client accounts, data and subscriptions remain under client ownership wherever practical.</w:t>
      </w:r>
    </w:p>
    <w:p>
      <w:pPr>
        <w:pStyle w:val="ListBullet"/>
        <w:spacing w:after="40"/>
      </w:pPr>
      <w:r>
        <w:t>Every agent has a defined responsibility, allowed actions, prohibited actions, approval thresholds and escalation path.</w:t>
      </w:r>
    </w:p>
    <w:p>
      <w:pPr>
        <w:pStyle w:val="ListBullet"/>
        <w:spacing w:after="40"/>
      </w:pPr>
      <w:r>
        <w:t>Every deployment has logs, monitoring, rollback and a named human owner.</w:t>
      </w:r>
    </w:p>
    <w:p>
      <w:pPr>
        <w:pStyle w:val="ListBullet"/>
        <w:spacing w:after="40"/>
      </w:pPr>
      <w:r>
        <w:t>Regulated/professional judgment stays with authorized humans.</w:t>
      </w:r>
    </w:p>
    <w:p>
      <w:pPr>
        <w:pStyle w:val="ListBullet"/>
        <w:spacing w:after="40"/>
      </w:pPr>
      <w:r>
        <w:t>Baseline metrics are captured before deployment so ROI can be demonstrated afterward.</w:t>
      </w:r>
    </w:p>
    <w:p>
      <w:pPr>
        <w:pStyle w:val="ListBullet"/>
        <w:spacing w:after="40"/>
      </w:pPr>
      <w:r>
        <w:t>Technology choice is implementation-specific; RH sells the operating outcome, not a vendor.</w:t>
      </w:r>
    </w:p>
    <w:p>
      <w:pPr>
        <w:pStyle w:val="Heading1"/>
      </w:pPr>
      <w:r>
        <w:t>12. Internal proof: RH and Treadstone</w:t>
      </w:r>
    </w:p>
    <w:p>
      <w:r>
        <w:t>RH and Treadstone should be documented immediately as internal proof. Public case studies may anonymize sensitive details, but the operating evidence should be rigorous.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Case-study block</w:t>
            </w:r>
          </w:p>
        </w:tc>
        <w:tc>
          <w:tcPr>
            <w:tcW w:type="dxa" w:w="5083"/>
            <w:shd w:fill="111827"/>
            <w:vAlign w:val="center"/>
            <w:tcMar>
              <w:top w:w="90" w:type="dxa"/>
              <w:start w:w="100" w:type="dxa"/>
              <w:bottom w:w="90" w:type="dxa"/>
              <w:end w:w="100" w:type="dxa"/>
            </w:tcMar>
          </w:tcPr>
          <w:p>
            <w:r>
              <w:rPr>
                <w:b/>
                <w:color w:val="FFFFFF"/>
                <w:sz w:val="17"/>
              </w:rPr>
              <w:t>Required evidence</w:t>
            </w:r>
          </w:p>
        </w:tc>
      </w:tr>
      <w:tr>
        <w:tc>
          <w:tcPr>
            <w:tcW w:type="dxa" w:w="5083"/>
            <w:tcMar>
              <w:top w:w="90" w:type="dxa"/>
              <w:start w:w="100" w:type="dxa"/>
              <w:bottom w:w="90" w:type="dxa"/>
              <w:end w:w="100" w:type="dxa"/>
            </w:tcMar>
            <w:vAlign w:val="center"/>
          </w:tcPr>
          <w:p>
            <w:pPr>
              <w:spacing w:after="0"/>
            </w:pPr>
            <w:r>
              <w:rPr>
                <w:sz w:val="16"/>
              </w:rPr>
              <w:t>Before</w:t>
            </w:r>
          </w:p>
        </w:tc>
        <w:tc>
          <w:tcPr>
            <w:tcW w:type="dxa" w:w="5083"/>
            <w:tcMar>
              <w:top w:w="90" w:type="dxa"/>
              <w:start w:w="100" w:type="dxa"/>
              <w:bottom w:w="90" w:type="dxa"/>
              <w:end w:w="100" w:type="dxa"/>
            </w:tcMar>
            <w:vAlign w:val="center"/>
          </w:tcPr>
          <w:p>
            <w:pPr>
              <w:spacing w:after="0"/>
            </w:pPr>
            <w:r>
              <w:rPr>
                <w:sz w:val="16"/>
              </w:rPr>
              <w:t>Who performed the work, frequency, hours, delays, backlog and failure points</w:t>
            </w:r>
          </w:p>
        </w:tc>
      </w:tr>
      <w:tr>
        <w:tc>
          <w:tcPr>
            <w:tcW w:type="dxa" w:w="5083"/>
            <w:tcMar>
              <w:top w:w="90" w:type="dxa"/>
              <w:start w:w="100" w:type="dxa"/>
              <w:bottom w:w="90" w:type="dxa"/>
              <w:end w:w="100" w:type="dxa"/>
            </w:tcMar>
            <w:vAlign w:val="center"/>
            <w:shd w:fill="F8FAFC"/>
          </w:tcPr>
          <w:p>
            <w:pPr>
              <w:spacing w:after="0"/>
            </w:pPr>
            <w:r>
              <w:rPr>
                <w:sz w:val="16"/>
              </w:rPr>
              <w:t>Intervention</w:t>
            </w:r>
          </w:p>
        </w:tc>
        <w:tc>
          <w:tcPr>
            <w:tcW w:type="dxa" w:w="5083"/>
            <w:tcMar>
              <w:top w:w="90" w:type="dxa"/>
              <w:start w:w="100" w:type="dxa"/>
              <w:bottom w:w="90" w:type="dxa"/>
              <w:end w:w="100" w:type="dxa"/>
            </w:tcMar>
            <w:vAlign w:val="center"/>
            <w:shd w:fill="F8FAFC"/>
          </w:tcPr>
          <w:p>
            <w:pPr>
              <w:spacing w:after="0"/>
            </w:pPr>
            <w:r>
              <w:rPr>
                <w:sz w:val="16"/>
              </w:rPr>
              <w:t>Process redesign, agent responsibilities, tools and human controls</w:t>
            </w:r>
          </w:p>
        </w:tc>
      </w:tr>
      <w:tr>
        <w:tc>
          <w:tcPr>
            <w:tcW w:type="dxa" w:w="5083"/>
            <w:tcMar>
              <w:top w:w="90" w:type="dxa"/>
              <w:start w:w="100" w:type="dxa"/>
              <w:bottom w:w="90" w:type="dxa"/>
              <w:end w:w="100" w:type="dxa"/>
            </w:tcMar>
            <w:vAlign w:val="center"/>
          </w:tcPr>
          <w:p>
            <w:pPr>
              <w:spacing w:after="0"/>
            </w:pPr>
            <w:r>
              <w:rPr>
                <w:sz w:val="16"/>
              </w:rPr>
              <w:t>After</w:t>
            </w:r>
          </w:p>
        </w:tc>
        <w:tc>
          <w:tcPr>
            <w:tcW w:type="dxa" w:w="5083"/>
            <w:tcMar>
              <w:top w:w="90" w:type="dxa"/>
              <w:start w:w="100" w:type="dxa"/>
              <w:bottom w:w="90" w:type="dxa"/>
              <w:end w:w="100" w:type="dxa"/>
            </w:tcMar>
            <w:vAlign w:val="center"/>
          </w:tcPr>
          <w:p>
            <w:pPr>
              <w:spacing w:after="0"/>
            </w:pPr>
            <w:r>
              <w:rPr>
                <w:sz w:val="16"/>
              </w:rPr>
              <w:t>What work is now monitored or executed continuously</w:t>
            </w:r>
          </w:p>
        </w:tc>
      </w:tr>
      <w:tr>
        <w:tc>
          <w:tcPr>
            <w:tcW w:type="dxa" w:w="5083"/>
            <w:tcMar>
              <w:top w:w="90" w:type="dxa"/>
              <w:start w:w="100" w:type="dxa"/>
              <w:bottom w:w="90" w:type="dxa"/>
              <w:end w:w="100" w:type="dxa"/>
            </w:tcMar>
            <w:vAlign w:val="center"/>
            <w:shd w:fill="F8FAFC"/>
          </w:tcPr>
          <w:p>
            <w:pPr>
              <w:spacing w:after="0"/>
            </w:pPr>
            <w:r>
              <w:rPr>
                <w:sz w:val="16"/>
              </w:rPr>
              <w:t>Metrics</w:t>
            </w:r>
          </w:p>
        </w:tc>
        <w:tc>
          <w:tcPr>
            <w:tcW w:type="dxa" w:w="5083"/>
            <w:tcMar>
              <w:top w:w="90" w:type="dxa"/>
              <w:start w:w="100" w:type="dxa"/>
              <w:bottom w:w="90" w:type="dxa"/>
              <w:end w:w="100" w:type="dxa"/>
            </w:tcMar>
            <w:vAlign w:val="center"/>
            <w:shd w:fill="F8FAFC"/>
          </w:tcPr>
          <w:p>
            <w:pPr>
              <w:spacing w:after="0"/>
            </w:pPr>
            <w:r>
              <w:rPr>
                <w:sz w:val="16"/>
              </w:rPr>
              <w:t>Hours saved, tasks processed, response time, backlog, errors, output or revenue impact</w:t>
            </w:r>
          </w:p>
        </w:tc>
      </w:tr>
      <w:tr>
        <w:tc>
          <w:tcPr>
            <w:tcW w:type="dxa" w:w="5083"/>
            <w:tcMar>
              <w:top w:w="90" w:type="dxa"/>
              <w:start w:w="100" w:type="dxa"/>
              <w:bottom w:w="90" w:type="dxa"/>
              <w:end w:w="100" w:type="dxa"/>
            </w:tcMar>
            <w:vAlign w:val="center"/>
          </w:tcPr>
          <w:p>
            <w:pPr>
              <w:spacing w:after="0"/>
            </w:pPr>
            <w:r>
              <w:rPr>
                <w:sz w:val="16"/>
              </w:rPr>
              <w:t>Lesson</w:t>
            </w:r>
          </w:p>
        </w:tc>
        <w:tc>
          <w:tcPr>
            <w:tcW w:type="dxa" w:w="5083"/>
            <w:tcMar>
              <w:top w:w="90" w:type="dxa"/>
              <w:start w:w="100" w:type="dxa"/>
              <w:bottom w:w="90" w:type="dxa"/>
              <w:end w:w="100" w:type="dxa"/>
            </w:tcMar>
            <w:vAlign w:val="center"/>
          </w:tcPr>
          <w:p>
            <w:pPr>
              <w:spacing w:after="0"/>
            </w:pPr>
            <w:r>
              <w:rPr>
                <w:sz w:val="16"/>
              </w:rPr>
              <w:t>What became reusable for future clients</w:t>
            </w:r>
          </w:p>
        </w:tc>
      </w:tr>
    </w:tbl>
    <w:p>
      <w:pPr>
        <w:spacing w:after="20"/>
      </w:pPr>
    </w:p>
    <w:p>
      <w:pPr>
        <w:pStyle w:val="Heading1"/>
      </w:pPr>
      <w:r>
        <w:t>13. 30 / 60 / 90-day execution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Window</w:t>
            </w:r>
          </w:p>
        </w:tc>
        <w:tc>
          <w:tcPr>
            <w:tcW w:type="dxa" w:w="3389"/>
            <w:shd w:fill="111827"/>
            <w:vAlign w:val="center"/>
            <w:tcMar>
              <w:top w:w="90" w:type="dxa"/>
              <w:start w:w="100" w:type="dxa"/>
              <w:bottom w:w="90" w:type="dxa"/>
              <w:end w:w="100" w:type="dxa"/>
            </w:tcMar>
          </w:tcPr>
          <w:p>
            <w:r>
              <w:rPr>
                <w:b/>
                <w:color w:val="FFFFFF"/>
                <w:sz w:val="16"/>
              </w:rPr>
              <w:t>Primary objective</w:t>
            </w:r>
          </w:p>
        </w:tc>
        <w:tc>
          <w:tcPr>
            <w:tcW w:type="dxa" w:w="3389"/>
            <w:shd w:fill="111827"/>
            <w:vAlign w:val="center"/>
            <w:tcMar>
              <w:top w:w="90" w:type="dxa"/>
              <w:start w:w="100" w:type="dxa"/>
              <w:bottom w:w="90" w:type="dxa"/>
              <w:end w:w="100" w:type="dxa"/>
            </w:tcMar>
          </w:tcPr>
          <w:p>
            <w:r>
              <w:rPr>
                <w:b/>
                <w:color w:val="FFFFFF"/>
                <w:sz w:val="16"/>
              </w:rPr>
              <w:t>Must-have outcomes</w:t>
            </w:r>
          </w:p>
        </w:tc>
      </w:tr>
      <w:tr>
        <w:tc>
          <w:tcPr>
            <w:tcW w:type="dxa" w:w="3389"/>
            <w:tcMar>
              <w:top w:w="90" w:type="dxa"/>
              <w:start w:w="100" w:type="dxa"/>
              <w:bottom w:w="90" w:type="dxa"/>
              <w:end w:w="100" w:type="dxa"/>
            </w:tcMar>
            <w:vAlign w:val="center"/>
          </w:tcPr>
          <w:p>
            <w:pPr>
              <w:spacing w:after="0"/>
            </w:pPr>
            <w:r>
              <w:rPr>
                <w:sz w:val="15"/>
              </w:rPr>
              <w:t>Days 1–30</w:t>
            </w:r>
          </w:p>
        </w:tc>
        <w:tc>
          <w:tcPr>
            <w:tcW w:type="dxa" w:w="3389"/>
            <w:tcMar>
              <w:top w:w="90" w:type="dxa"/>
              <w:start w:w="100" w:type="dxa"/>
              <w:bottom w:w="90" w:type="dxa"/>
              <w:end w:w="100" w:type="dxa"/>
            </w:tcMar>
            <w:vAlign w:val="center"/>
          </w:tcPr>
          <w:p>
            <w:pPr>
              <w:spacing w:after="0"/>
            </w:pPr>
            <w:r>
              <w:rPr>
                <w:sz w:val="15"/>
              </w:rPr>
              <w:t>Product-market fit</w:t>
            </w:r>
          </w:p>
        </w:tc>
        <w:tc>
          <w:tcPr>
            <w:tcW w:type="dxa" w:w="3389"/>
            <w:tcMar>
              <w:top w:w="90" w:type="dxa"/>
              <w:start w:w="100" w:type="dxa"/>
              <w:bottom w:w="90" w:type="dxa"/>
              <w:end w:w="100" w:type="dxa"/>
            </w:tcMar>
            <w:vAlign w:val="center"/>
          </w:tcPr>
          <w:p>
            <w:pPr>
              <w:spacing w:after="0"/>
            </w:pPr>
            <w:r>
              <w:rPr>
                <w:sz w:val="15"/>
              </w:rPr>
              <w:t>Framework v1; paid audit; ROI/scoring model; proposals; RH/Treadstone proof; Contractor and Beauty playbooks; landing/deck; first fit calls; first paid audit</w:t>
            </w:r>
          </w:p>
        </w:tc>
      </w:tr>
      <w:tr>
        <w:tc>
          <w:tcPr>
            <w:tcW w:type="dxa" w:w="3389"/>
            <w:tcMar>
              <w:top w:w="90" w:type="dxa"/>
              <w:start w:w="100" w:type="dxa"/>
              <w:bottom w:w="90" w:type="dxa"/>
              <w:end w:w="100" w:type="dxa"/>
            </w:tcMar>
            <w:vAlign w:val="center"/>
            <w:shd w:fill="F8FAFC"/>
          </w:tcPr>
          <w:p>
            <w:pPr>
              <w:spacing w:after="0"/>
            </w:pPr>
            <w:r>
              <w:rPr>
                <w:sz w:val="15"/>
              </w:rPr>
              <w:t>Days 31–60</w:t>
            </w:r>
          </w:p>
        </w:tc>
        <w:tc>
          <w:tcPr>
            <w:tcW w:type="dxa" w:w="3389"/>
            <w:tcMar>
              <w:top w:w="90" w:type="dxa"/>
              <w:start w:w="100" w:type="dxa"/>
              <w:bottom w:w="90" w:type="dxa"/>
              <w:end w:w="100" w:type="dxa"/>
            </w:tcMar>
            <w:vAlign w:val="center"/>
            <w:shd w:fill="F8FAFC"/>
          </w:tcPr>
          <w:p>
            <w:pPr>
              <w:spacing w:after="0"/>
            </w:pPr>
            <w:r>
              <w:rPr>
                <w:sz w:val="15"/>
              </w:rPr>
              <w:t>Delivery fit</w:t>
            </w:r>
          </w:p>
        </w:tc>
        <w:tc>
          <w:tcPr>
            <w:tcW w:type="dxa" w:w="3389"/>
            <w:tcMar>
              <w:top w:w="90" w:type="dxa"/>
              <w:start w:w="100" w:type="dxa"/>
              <w:bottom w:w="90" w:type="dxa"/>
              <w:end w:w="100" w:type="dxa"/>
            </w:tcMar>
            <w:vAlign w:val="center"/>
            <w:shd w:fill="F8FAFC"/>
          </w:tcPr>
          <w:p>
            <w:pPr>
              <w:spacing w:after="0"/>
            </w:pPr>
            <w:r>
              <w:rPr>
                <w:sz w:val="15"/>
              </w:rPr>
              <w:t>First pilots/deployments; before/after measurement; methodology corrections; SOPs; testimonials; pricing refinement; audit→deployment conversion data</w:t>
            </w:r>
          </w:p>
        </w:tc>
      </w:tr>
      <w:tr>
        <w:tc>
          <w:tcPr>
            <w:tcW w:type="dxa" w:w="3389"/>
            <w:tcMar>
              <w:top w:w="90" w:type="dxa"/>
              <w:start w:w="100" w:type="dxa"/>
              <w:bottom w:w="90" w:type="dxa"/>
              <w:end w:w="100" w:type="dxa"/>
            </w:tcMar>
            <w:vAlign w:val="center"/>
          </w:tcPr>
          <w:p>
            <w:pPr>
              <w:spacing w:after="0"/>
            </w:pPr>
            <w:r>
              <w:rPr>
                <w:sz w:val="15"/>
              </w:rPr>
              <w:t>Days 61–90</w:t>
            </w:r>
          </w:p>
        </w:tc>
        <w:tc>
          <w:tcPr>
            <w:tcW w:type="dxa" w:w="3389"/>
            <w:tcMar>
              <w:top w:w="90" w:type="dxa"/>
              <w:start w:w="100" w:type="dxa"/>
              <w:bottom w:w="90" w:type="dxa"/>
              <w:end w:w="100" w:type="dxa"/>
            </w:tcMar>
            <w:vAlign w:val="center"/>
          </w:tcPr>
          <w:p>
            <w:pPr>
              <w:spacing w:after="0"/>
            </w:pPr>
            <w:r>
              <w:rPr>
                <w:sz w:val="15"/>
              </w:rPr>
              <w:t>Repeatability</w:t>
            </w:r>
          </w:p>
        </w:tc>
        <w:tc>
          <w:tcPr>
            <w:tcW w:type="dxa" w:w="3389"/>
            <w:tcMar>
              <w:top w:w="90" w:type="dxa"/>
              <w:start w:w="100" w:type="dxa"/>
              <w:bottom w:w="90" w:type="dxa"/>
              <w:end w:w="100" w:type="dxa"/>
            </w:tcMar>
            <w:vAlign w:val="center"/>
          </w:tcPr>
          <w:p>
            <w:pPr>
              <w:spacing w:after="0"/>
            </w:pPr>
            <w:r>
              <w:rPr>
                <w:sz w:val="15"/>
              </w:rPr>
              <w:t>Standardized packages; US salesperson or active recruiting if justified; partner/referral motion; limited paid-acquisition test; repeatable delivery metrics</w:t>
            </w:r>
          </w:p>
        </w:tc>
      </w:tr>
    </w:tbl>
    <w:p>
      <w:pPr>
        <w:spacing w:after="20"/>
      </w:pPr>
    </w:p>
    <w:p>
      <w:pPr>
        <w:pStyle w:val="Heading1"/>
      </w:pPr>
      <w:r>
        <w:t>14. Executive KPI dashboard</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6"/>
              </w:rPr>
              <w:t>KPI</w:t>
            </w:r>
          </w:p>
        </w:tc>
        <w:tc>
          <w:tcPr>
            <w:tcW w:type="dxa" w:w="5083"/>
            <w:shd w:fill="111827"/>
            <w:vAlign w:val="center"/>
            <w:tcMar>
              <w:top w:w="90" w:type="dxa"/>
              <w:start w:w="100" w:type="dxa"/>
              <w:bottom w:w="90" w:type="dxa"/>
              <w:end w:w="100" w:type="dxa"/>
            </w:tcMar>
          </w:tcPr>
          <w:p>
            <w:r>
              <w:rPr>
                <w:b/>
                <w:color w:val="FFFFFF"/>
                <w:sz w:val="16"/>
              </w:rPr>
              <w:t>Why it matters</w:t>
            </w:r>
          </w:p>
        </w:tc>
      </w:tr>
      <w:tr>
        <w:tc>
          <w:tcPr>
            <w:tcW w:type="dxa" w:w="5083"/>
            <w:tcMar>
              <w:top w:w="90" w:type="dxa"/>
              <w:start w:w="100" w:type="dxa"/>
              <w:bottom w:w="90" w:type="dxa"/>
              <w:end w:w="100" w:type="dxa"/>
            </w:tcMar>
            <w:vAlign w:val="center"/>
          </w:tcPr>
          <w:p>
            <w:pPr>
              <w:spacing w:after="0"/>
            </w:pPr>
            <w:r>
              <w:rPr>
                <w:sz w:val="15"/>
              </w:rPr>
              <w:t>Leads by source</w:t>
            </w:r>
          </w:p>
        </w:tc>
        <w:tc>
          <w:tcPr>
            <w:tcW w:type="dxa" w:w="5083"/>
            <w:tcMar>
              <w:top w:w="90" w:type="dxa"/>
              <w:start w:w="100" w:type="dxa"/>
              <w:bottom w:w="90" w:type="dxa"/>
              <w:end w:w="100" w:type="dxa"/>
            </w:tcMar>
            <w:vAlign w:val="center"/>
          </w:tcPr>
          <w:p>
            <w:pPr>
              <w:spacing w:after="0"/>
            </w:pPr>
            <w:r>
              <w:rPr>
                <w:sz w:val="15"/>
              </w:rPr>
              <w:t>Distribution</w:t>
            </w:r>
          </w:p>
        </w:tc>
      </w:tr>
      <w:tr>
        <w:tc>
          <w:tcPr>
            <w:tcW w:type="dxa" w:w="5083"/>
            <w:tcMar>
              <w:top w:w="90" w:type="dxa"/>
              <w:start w:w="100" w:type="dxa"/>
              <w:bottom w:w="90" w:type="dxa"/>
              <w:end w:w="100" w:type="dxa"/>
            </w:tcMar>
            <w:vAlign w:val="center"/>
            <w:shd w:fill="F8FAFC"/>
          </w:tcPr>
          <w:p>
            <w:pPr>
              <w:spacing w:after="0"/>
            </w:pPr>
            <w:r>
              <w:rPr>
                <w:sz w:val="15"/>
              </w:rPr>
              <w:t>Fit calls booked/completed</w:t>
            </w:r>
          </w:p>
        </w:tc>
        <w:tc>
          <w:tcPr>
            <w:tcW w:type="dxa" w:w="5083"/>
            <w:tcMar>
              <w:top w:w="90" w:type="dxa"/>
              <w:start w:w="100" w:type="dxa"/>
              <w:bottom w:w="90" w:type="dxa"/>
              <w:end w:w="100" w:type="dxa"/>
            </w:tcMar>
            <w:vAlign w:val="center"/>
            <w:shd w:fill="F8FAFC"/>
          </w:tcPr>
          <w:p>
            <w:pPr>
              <w:spacing w:after="0"/>
            </w:pPr>
            <w:r>
              <w:rPr>
                <w:sz w:val="15"/>
              </w:rPr>
              <w:t>Commercial interest</w:t>
            </w:r>
          </w:p>
        </w:tc>
      </w:tr>
      <w:tr>
        <w:tc>
          <w:tcPr>
            <w:tcW w:type="dxa" w:w="5083"/>
            <w:tcMar>
              <w:top w:w="90" w:type="dxa"/>
              <w:start w:w="100" w:type="dxa"/>
              <w:bottom w:w="90" w:type="dxa"/>
              <w:end w:w="100" w:type="dxa"/>
            </w:tcMar>
            <w:vAlign w:val="center"/>
          </w:tcPr>
          <w:p>
            <w:pPr>
              <w:spacing w:after="0"/>
            </w:pPr>
            <w:r>
              <w:rPr>
                <w:sz w:val="15"/>
              </w:rPr>
              <w:t>Paid audits sold</w:t>
            </w:r>
          </w:p>
        </w:tc>
        <w:tc>
          <w:tcPr>
            <w:tcW w:type="dxa" w:w="5083"/>
            <w:tcMar>
              <w:top w:w="90" w:type="dxa"/>
              <w:start w:w="100" w:type="dxa"/>
              <w:bottom w:w="90" w:type="dxa"/>
              <w:end w:w="100" w:type="dxa"/>
            </w:tcMar>
            <w:vAlign w:val="center"/>
          </w:tcPr>
          <w:p>
            <w:pPr>
              <w:spacing w:after="0"/>
            </w:pPr>
            <w:r>
              <w:rPr>
                <w:sz w:val="15"/>
              </w:rPr>
              <w:t>Willingness to pay</w:t>
            </w:r>
          </w:p>
        </w:tc>
      </w:tr>
      <w:tr>
        <w:tc>
          <w:tcPr>
            <w:tcW w:type="dxa" w:w="5083"/>
            <w:tcMar>
              <w:top w:w="90" w:type="dxa"/>
              <w:start w:w="100" w:type="dxa"/>
              <w:bottom w:w="90" w:type="dxa"/>
              <w:end w:w="100" w:type="dxa"/>
            </w:tcMar>
            <w:vAlign w:val="center"/>
            <w:shd w:fill="F8FAFC"/>
          </w:tcPr>
          <w:p>
            <w:pPr>
              <w:spacing w:after="0"/>
            </w:pPr>
            <w:r>
              <w:rPr>
                <w:sz w:val="15"/>
              </w:rPr>
              <w:t>Audit revenue</w:t>
            </w:r>
          </w:p>
        </w:tc>
        <w:tc>
          <w:tcPr>
            <w:tcW w:type="dxa" w:w="5083"/>
            <w:tcMar>
              <w:top w:w="90" w:type="dxa"/>
              <w:start w:w="100" w:type="dxa"/>
              <w:bottom w:w="90" w:type="dxa"/>
              <w:end w:w="100" w:type="dxa"/>
            </w:tcMar>
            <w:vAlign w:val="center"/>
            <w:shd w:fill="F8FAFC"/>
          </w:tcPr>
          <w:p>
            <w:pPr>
              <w:spacing w:after="0"/>
            </w:pPr>
            <w:r>
              <w:rPr>
                <w:sz w:val="15"/>
              </w:rPr>
              <w:t>Top-of-funnel monetization</w:t>
            </w:r>
          </w:p>
        </w:tc>
      </w:tr>
      <w:tr>
        <w:tc>
          <w:tcPr>
            <w:tcW w:type="dxa" w:w="5083"/>
            <w:tcMar>
              <w:top w:w="90" w:type="dxa"/>
              <w:start w:w="100" w:type="dxa"/>
              <w:bottom w:w="90" w:type="dxa"/>
              <w:end w:w="100" w:type="dxa"/>
            </w:tcMar>
            <w:vAlign w:val="center"/>
          </w:tcPr>
          <w:p>
            <w:pPr>
              <w:spacing w:after="0"/>
            </w:pPr>
            <w:r>
              <w:rPr>
                <w:sz w:val="15"/>
              </w:rPr>
              <w:t>Audit → deployment conversion</w:t>
            </w:r>
          </w:p>
        </w:tc>
        <w:tc>
          <w:tcPr>
            <w:tcW w:type="dxa" w:w="5083"/>
            <w:tcMar>
              <w:top w:w="90" w:type="dxa"/>
              <w:start w:w="100" w:type="dxa"/>
              <w:bottom w:w="90" w:type="dxa"/>
              <w:end w:w="100" w:type="dxa"/>
            </w:tcMar>
            <w:vAlign w:val="center"/>
          </w:tcPr>
          <w:p>
            <w:pPr>
              <w:spacing w:after="0"/>
            </w:pPr>
            <w:r>
              <w:rPr>
                <w:sz w:val="15"/>
              </w:rPr>
              <w:t>Offer quality</w:t>
            </w:r>
          </w:p>
        </w:tc>
      </w:tr>
      <w:tr>
        <w:tc>
          <w:tcPr>
            <w:tcW w:type="dxa" w:w="5083"/>
            <w:tcMar>
              <w:top w:w="90" w:type="dxa"/>
              <w:start w:w="100" w:type="dxa"/>
              <w:bottom w:w="90" w:type="dxa"/>
              <w:end w:w="100" w:type="dxa"/>
            </w:tcMar>
            <w:vAlign w:val="center"/>
            <w:shd w:fill="F8FAFC"/>
          </w:tcPr>
          <w:p>
            <w:pPr>
              <w:spacing w:after="0"/>
            </w:pPr>
            <w:r>
              <w:rPr>
                <w:sz w:val="15"/>
              </w:rPr>
              <w:t>Average deployment value</w:t>
            </w:r>
          </w:p>
        </w:tc>
        <w:tc>
          <w:tcPr>
            <w:tcW w:type="dxa" w:w="5083"/>
            <w:tcMar>
              <w:top w:w="90" w:type="dxa"/>
              <w:start w:w="100" w:type="dxa"/>
              <w:bottom w:w="90" w:type="dxa"/>
              <w:end w:w="100" w:type="dxa"/>
            </w:tcMar>
            <w:vAlign w:val="center"/>
            <w:shd w:fill="F8FAFC"/>
          </w:tcPr>
          <w:p>
            <w:pPr>
              <w:spacing w:after="0"/>
            </w:pPr>
            <w:r>
              <w:rPr>
                <w:sz w:val="15"/>
              </w:rPr>
              <w:t>Economics</w:t>
            </w:r>
          </w:p>
        </w:tc>
      </w:tr>
      <w:tr>
        <w:tc>
          <w:tcPr>
            <w:tcW w:type="dxa" w:w="5083"/>
            <w:tcMar>
              <w:top w:w="90" w:type="dxa"/>
              <w:start w:w="100" w:type="dxa"/>
              <w:bottom w:w="90" w:type="dxa"/>
              <w:end w:w="100" w:type="dxa"/>
            </w:tcMar>
            <w:vAlign w:val="center"/>
          </w:tcPr>
          <w:p>
            <w:pPr>
              <w:spacing w:after="0"/>
            </w:pPr>
            <w:r>
              <w:rPr>
                <w:sz w:val="15"/>
              </w:rPr>
              <w:t>Delivery hours / project</w:t>
            </w:r>
          </w:p>
        </w:tc>
        <w:tc>
          <w:tcPr>
            <w:tcW w:type="dxa" w:w="5083"/>
            <w:tcMar>
              <w:top w:w="90" w:type="dxa"/>
              <w:start w:w="100" w:type="dxa"/>
              <w:bottom w:w="90" w:type="dxa"/>
              <w:end w:w="100" w:type="dxa"/>
            </w:tcMar>
            <w:vAlign w:val="center"/>
          </w:tcPr>
          <w:p>
            <w:pPr>
              <w:spacing w:after="0"/>
            </w:pPr>
            <w:r>
              <w:rPr>
                <w:sz w:val="15"/>
              </w:rPr>
              <w:t>Scalability</w:t>
            </w:r>
          </w:p>
        </w:tc>
      </w:tr>
      <w:tr>
        <w:tc>
          <w:tcPr>
            <w:tcW w:type="dxa" w:w="5083"/>
            <w:tcMar>
              <w:top w:w="90" w:type="dxa"/>
              <w:start w:w="100" w:type="dxa"/>
              <w:bottom w:w="90" w:type="dxa"/>
              <w:end w:w="100" w:type="dxa"/>
            </w:tcMar>
            <w:vAlign w:val="center"/>
            <w:shd w:fill="F8FAFC"/>
          </w:tcPr>
          <w:p>
            <w:pPr>
              <w:spacing w:after="0"/>
            </w:pPr>
            <w:r>
              <w:rPr>
                <w:sz w:val="15"/>
              </w:rPr>
              <w:t>Gross margin</w:t>
            </w:r>
          </w:p>
        </w:tc>
        <w:tc>
          <w:tcPr>
            <w:tcW w:type="dxa" w:w="5083"/>
            <w:tcMar>
              <w:top w:w="90" w:type="dxa"/>
              <w:start w:w="100" w:type="dxa"/>
              <w:bottom w:w="90" w:type="dxa"/>
              <w:end w:w="100" w:type="dxa"/>
            </w:tcMar>
            <w:vAlign w:val="center"/>
            <w:shd w:fill="F8FAFC"/>
          </w:tcPr>
          <w:p>
            <w:pPr>
              <w:spacing w:after="0"/>
            </w:pPr>
            <w:r>
              <w:rPr>
                <w:sz w:val="15"/>
              </w:rPr>
              <w:t>Business quality</w:t>
            </w:r>
          </w:p>
        </w:tc>
      </w:tr>
      <w:tr>
        <w:tc>
          <w:tcPr>
            <w:tcW w:type="dxa" w:w="5083"/>
            <w:tcMar>
              <w:top w:w="90" w:type="dxa"/>
              <w:start w:w="100" w:type="dxa"/>
              <w:bottom w:w="90" w:type="dxa"/>
              <w:end w:w="100" w:type="dxa"/>
            </w:tcMar>
            <w:vAlign w:val="center"/>
          </w:tcPr>
          <w:p>
            <w:pPr>
              <w:spacing w:after="0"/>
            </w:pPr>
            <w:r>
              <w:rPr>
                <w:sz w:val="15"/>
              </w:rPr>
              <w:t>MRR / optimization revenue</w:t>
            </w:r>
          </w:p>
        </w:tc>
        <w:tc>
          <w:tcPr>
            <w:tcW w:type="dxa" w:w="5083"/>
            <w:tcMar>
              <w:top w:w="90" w:type="dxa"/>
              <w:start w:w="100" w:type="dxa"/>
              <w:bottom w:w="90" w:type="dxa"/>
              <w:end w:w="100" w:type="dxa"/>
            </w:tcMar>
            <w:vAlign w:val="center"/>
          </w:tcPr>
          <w:p>
            <w:pPr>
              <w:spacing w:after="0"/>
            </w:pPr>
            <w:r>
              <w:rPr>
                <w:sz w:val="15"/>
              </w:rPr>
              <w:t>Durability</w:t>
            </w:r>
          </w:p>
        </w:tc>
      </w:tr>
      <w:tr>
        <w:tc>
          <w:tcPr>
            <w:tcW w:type="dxa" w:w="5083"/>
            <w:tcMar>
              <w:top w:w="90" w:type="dxa"/>
              <w:start w:w="100" w:type="dxa"/>
              <w:bottom w:w="90" w:type="dxa"/>
              <w:end w:w="100" w:type="dxa"/>
            </w:tcMar>
            <w:vAlign w:val="center"/>
            <w:shd w:fill="F8FAFC"/>
          </w:tcPr>
          <w:p>
            <w:pPr>
              <w:spacing w:after="0"/>
            </w:pPr>
            <w:r>
              <w:rPr>
                <w:sz w:val="15"/>
              </w:rPr>
              <w:t>Sales cycle</w:t>
            </w:r>
          </w:p>
        </w:tc>
        <w:tc>
          <w:tcPr>
            <w:tcW w:type="dxa" w:w="5083"/>
            <w:tcMar>
              <w:top w:w="90" w:type="dxa"/>
              <w:start w:w="100" w:type="dxa"/>
              <w:bottom w:w="90" w:type="dxa"/>
              <w:end w:w="100" w:type="dxa"/>
            </w:tcMar>
            <w:vAlign w:val="center"/>
            <w:shd w:fill="F8FAFC"/>
          </w:tcPr>
          <w:p>
            <w:pPr>
              <w:spacing w:after="0"/>
            </w:pPr>
            <w:r>
              <w:rPr>
                <w:sz w:val="15"/>
              </w:rPr>
              <w:t>Capital and sales efficiency</w:t>
            </w:r>
          </w:p>
        </w:tc>
      </w:tr>
      <w:tr>
        <w:tc>
          <w:tcPr>
            <w:tcW w:type="dxa" w:w="5083"/>
            <w:tcMar>
              <w:top w:w="90" w:type="dxa"/>
              <w:start w:w="100" w:type="dxa"/>
              <w:bottom w:w="90" w:type="dxa"/>
              <w:end w:w="100" w:type="dxa"/>
            </w:tcMar>
            <w:vAlign w:val="center"/>
          </w:tcPr>
          <w:p>
            <w:pPr>
              <w:spacing w:after="0"/>
            </w:pPr>
            <w:r>
              <w:rPr>
                <w:sz w:val="15"/>
              </w:rPr>
              <w:t>Win rate by vertical/source/rep</w:t>
            </w:r>
          </w:p>
        </w:tc>
        <w:tc>
          <w:tcPr>
            <w:tcW w:type="dxa" w:w="5083"/>
            <w:tcMar>
              <w:top w:w="90" w:type="dxa"/>
              <w:start w:w="100" w:type="dxa"/>
              <w:bottom w:w="90" w:type="dxa"/>
              <w:end w:w="100" w:type="dxa"/>
            </w:tcMar>
            <w:vAlign w:val="center"/>
          </w:tcPr>
          <w:p>
            <w:pPr>
              <w:spacing w:after="0"/>
            </w:pPr>
            <w:r>
              <w:rPr>
                <w:sz w:val="15"/>
              </w:rPr>
              <w:t>Where to focus</w:t>
            </w:r>
          </w:p>
        </w:tc>
      </w:tr>
      <w:tr>
        <w:tc>
          <w:tcPr>
            <w:tcW w:type="dxa" w:w="5083"/>
            <w:tcMar>
              <w:top w:w="90" w:type="dxa"/>
              <w:start w:w="100" w:type="dxa"/>
              <w:bottom w:w="90" w:type="dxa"/>
              <w:end w:w="100" w:type="dxa"/>
            </w:tcMar>
            <w:vAlign w:val="center"/>
            <w:shd w:fill="F8FAFC"/>
          </w:tcPr>
          <w:p>
            <w:pPr>
              <w:spacing w:after="0"/>
            </w:pPr>
            <w:r>
              <w:rPr>
                <w:sz w:val="15"/>
              </w:rPr>
              <w:t>% reusable implementation</w:t>
            </w:r>
          </w:p>
        </w:tc>
        <w:tc>
          <w:tcPr>
            <w:tcW w:type="dxa" w:w="5083"/>
            <w:tcMar>
              <w:top w:w="90" w:type="dxa"/>
              <w:start w:w="100" w:type="dxa"/>
              <w:bottom w:w="90" w:type="dxa"/>
              <w:end w:w="100" w:type="dxa"/>
            </w:tcMar>
            <w:vAlign w:val="center"/>
            <w:shd w:fill="F8FAFC"/>
          </w:tcPr>
          <w:p>
            <w:pPr>
              <w:spacing w:after="0"/>
            </w:pPr>
            <w:r>
              <w:rPr>
                <w:sz w:val="15"/>
              </w:rPr>
              <w:t>Productization / moat</w:t>
            </w:r>
          </w:p>
        </w:tc>
      </w:tr>
      <w:tr>
        <w:tc>
          <w:tcPr>
            <w:tcW w:type="dxa" w:w="5083"/>
            <w:tcMar>
              <w:top w:w="90" w:type="dxa"/>
              <w:start w:w="100" w:type="dxa"/>
              <w:bottom w:w="90" w:type="dxa"/>
              <w:end w:w="100" w:type="dxa"/>
            </w:tcMar>
            <w:vAlign w:val="center"/>
          </w:tcPr>
          <w:p>
            <w:pPr>
              <w:spacing w:after="0"/>
            </w:pPr>
            <w:r>
              <w:rPr>
                <w:sz w:val="15"/>
              </w:rPr>
              <w:t>Client ROI and before/after KPIs</w:t>
            </w:r>
          </w:p>
        </w:tc>
        <w:tc>
          <w:tcPr>
            <w:tcW w:type="dxa" w:w="5083"/>
            <w:tcMar>
              <w:top w:w="90" w:type="dxa"/>
              <w:start w:w="100" w:type="dxa"/>
              <w:bottom w:w="90" w:type="dxa"/>
              <w:end w:w="100" w:type="dxa"/>
            </w:tcMar>
            <w:vAlign w:val="center"/>
          </w:tcPr>
          <w:p>
            <w:pPr>
              <w:spacing w:after="0"/>
            </w:pPr>
            <w:r>
              <w:rPr>
                <w:sz w:val="15"/>
              </w:rPr>
              <w:t>Proof and pricing power</w:t>
            </w:r>
          </w:p>
        </w:tc>
      </w:tr>
    </w:tbl>
    <w:p>
      <w:pPr>
        <w:spacing w:after="20"/>
      </w:pPr>
    </w:p>
    <w:p>
      <w:pPr>
        <w:pStyle w:val="Heading1"/>
      </w:pPr>
      <w:r>
        <w:t>15. Workstreams and ownership</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Mar>
              <w:top w:w="90" w:type="dxa"/>
              <w:start w:w="100" w:type="dxa"/>
              <w:bottom w:w="90" w:type="dxa"/>
              <w:end w:w="100" w:type="dxa"/>
            </w:tcMar>
          </w:tcPr>
          <w:p>
            <w:r>
              <w:rPr>
                <w:b/>
                <w:color w:val="FFFFFF"/>
                <w:sz w:val="17"/>
              </w:rPr>
              <w:t>Workstream</w:t>
            </w:r>
          </w:p>
        </w:tc>
        <w:tc>
          <w:tcPr>
            <w:tcW w:type="dxa" w:w="5083"/>
            <w:shd w:fill="111827"/>
            <w:vAlign w:val="center"/>
            <w:tcMar>
              <w:top w:w="90" w:type="dxa"/>
              <w:start w:w="100" w:type="dxa"/>
              <w:bottom w:w="90" w:type="dxa"/>
              <w:end w:w="100" w:type="dxa"/>
            </w:tcMar>
          </w:tcPr>
          <w:p>
            <w:r>
              <w:rPr>
                <w:b/>
                <w:color w:val="FFFFFF"/>
                <w:sz w:val="17"/>
              </w:rPr>
              <w:t>Scope</w:t>
            </w:r>
          </w:p>
        </w:tc>
      </w:tr>
      <w:tr>
        <w:tc>
          <w:tcPr>
            <w:tcW w:type="dxa" w:w="5083"/>
            <w:tcMar>
              <w:top w:w="90" w:type="dxa"/>
              <w:start w:w="100" w:type="dxa"/>
              <w:bottom w:w="90" w:type="dxa"/>
              <w:end w:w="100" w:type="dxa"/>
            </w:tcMar>
            <w:vAlign w:val="center"/>
          </w:tcPr>
          <w:p>
            <w:pPr>
              <w:spacing w:after="0"/>
            </w:pPr>
            <w:r>
              <w:rPr>
                <w:sz w:val="16"/>
              </w:rPr>
              <w:t>A · Product</w:t>
            </w:r>
          </w:p>
        </w:tc>
        <w:tc>
          <w:tcPr>
            <w:tcW w:type="dxa" w:w="5083"/>
            <w:tcMar>
              <w:top w:w="90" w:type="dxa"/>
              <w:start w:w="100" w:type="dxa"/>
              <w:bottom w:w="90" w:type="dxa"/>
              <w:end w:w="100" w:type="dxa"/>
            </w:tcMar>
            <w:vAlign w:val="center"/>
          </w:tcPr>
          <w:p>
            <w:pPr>
              <w:spacing w:after="0"/>
            </w:pPr>
            <w:r>
              <w:rPr>
                <w:sz w:val="16"/>
              </w:rPr>
              <w:t>Framework, audit, scoring, ROI, offers, pricing</w:t>
            </w:r>
          </w:p>
        </w:tc>
      </w:tr>
      <w:tr>
        <w:tc>
          <w:tcPr>
            <w:tcW w:type="dxa" w:w="5083"/>
            <w:tcMar>
              <w:top w:w="90" w:type="dxa"/>
              <w:start w:w="100" w:type="dxa"/>
              <w:bottom w:w="90" w:type="dxa"/>
              <w:end w:w="100" w:type="dxa"/>
            </w:tcMar>
            <w:vAlign w:val="center"/>
            <w:shd w:fill="F8FAFC"/>
          </w:tcPr>
          <w:p>
            <w:pPr>
              <w:spacing w:after="0"/>
            </w:pPr>
            <w:r>
              <w:rPr>
                <w:sz w:val="16"/>
              </w:rPr>
              <w:t>B · Verticals</w:t>
            </w:r>
          </w:p>
        </w:tc>
        <w:tc>
          <w:tcPr>
            <w:tcW w:type="dxa" w:w="5083"/>
            <w:tcMar>
              <w:top w:w="90" w:type="dxa"/>
              <w:start w:w="100" w:type="dxa"/>
              <w:bottom w:w="90" w:type="dxa"/>
              <w:end w:w="100" w:type="dxa"/>
            </w:tcMar>
            <w:vAlign w:val="center"/>
            <w:shd w:fill="F8FAFC"/>
          </w:tcPr>
          <w:p>
            <w:pPr>
              <w:spacing w:after="0"/>
            </w:pPr>
            <w:r>
              <w:rPr>
                <w:sz w:val="16"/>
              </w:rPr>
              <w:t>Contractor, Beauty, Legal Admin, Dental Admin playbooks</w:t>
            </w:r>
          </w:p>
        </w:tc>
      </w:tr>
      <w:tr>
        <w:tc>
          <w:tcPr>
            <w:tcW w:type="dxa" w:w="5083"/>
            <w:tcMar>
              <w:top w:w="90" w:type="dxa"/>
              <w:start w:w="100" w:type="dxa"/>
              <w:bottom w:w="90" w:type="dxa"/>
              <w:end w:w="100" w:type="dxa"/>
            </w:tcMar>
            <w:vAlign w:val="center"/>
          </w:tcPr>
          <w:p>
            <w:pPr>
              <w:spacing w:after="0"/>
            </w:pPr>
            <w:r>
              <w:rPr>
                <w:sz w:val="16"/>
              </w:rPr>
              <w:t>C · Delivery</w:t>
            </w:r>
          </w:p>
        </w:tc>
        <w:tc>
          <w:tcPr>
            <w:tcW w:type="dxa" w:w="5083"/>
            <w:tcMar>
              <w:top w:w="90" w:type="dxa"/>
              <w:start w:w="100" w:type="dxa"/>
              <w:bottom w:w="90" w:type="dxa"/>
              <w:end w:w="100" w:type="dxa"/>
            </w:tcMar>
            <w:vAlign w:val="center"/>
          </w:tcPr>
          <w:p>
            <w:pPr>
              <w:spacing w:after="0"/>
            </w:pPr>
            <w:r>
              <w:rPr>
                <w:sz w:val="16"/>
              </w:rPr>
              <w:t>Agent builds, integrations, QA, permissions, SOPs, support</w:t>
            </w:r>
          </w:p>
        </w:tc>
      </w:tr>
      <w:tr>
        <w:tc>
          <w:tcPr>
            <w:tcW w:type="dxa" w:w="5083"/>
            <w:tcMar>
              <w:top w:w="90" w:type="dxa"/>
              <w:start w:w="100" w:type="dxa"/>
              <w:bottom w:w="90" w:type="dxa"/>
              <w:end w:w="100" w:type="dxa"/>
            </w:tcMar>
            <w:vAlign w:val="center"/>
            <w:shd w:fill="F8FAFC"/>
          </w:tcPr>
          <w:p>
            <w:pPr>
              <w:spacing w:after="0"/>
            </w:pPr>
            <w:r>
              <w:rPr>
                <w:sz w:val="16"/>
              </w:rPr>
              <w:t>D · GTM</w:t>
            </w:r>
          </w:p>
        </w:tc>
        <w:tc>
          <w:tcPr>
            <w:tcW w:type="dxa" w:w="5083"/>
            <w:tcMar>
              <w:top w:w="90" w:type="dxa"/>
              <w:start w:w="100" w:type="dxa"/>
              <w:bottom w:w="90" w:type="dxa"/>
              <w:end w:w="100" w:type="dxa"/>
            </w:tcMar>
            <w:vAlign w:val="center"/>
            <w:shd w:fill="F8FAFC"/>
          </w:tcPr>
          <w:p>
            <w:pPr>
              <w:spacing w:after="0"/>
            </w:pPr>
            <w:r>
              <w:rPr>
                <w:sz w:val="16"/>
              </w:rPr>
              <w:t>Content, website, deck, outbound, reps, partner channels</w:t>
            </w:r>
          </w:p>
        </w:tc>
      </w:tr>
      <w:tr>
        <w:tc>
          <w:tcPr>
            <w:tcW w:type="dxa" w:w="5083"/>
            <w:tcMar>
              <w:top w:w="90" w:type="dxa"/>
              <w:start w:w="100" w:type="dxa"/>
              <w:bottom w:w="90" w:type="dxa"/>
              <w:end w:w="100" w:type="dxa"/>
            </w:tcMar>
            <w:vAlign w:val="center"/>
          </w:tcPr>
          <w:p>
            <w:pPr>
              <w:spacing w:after="0"/>
            </w:pPr>
            <w:r>
              <w:rPr>
                <w:sz w:val="16"/>
              </w:rPr>
              <w:t>E · Metrics</w:t>
            </w:r>
          </w:p>
        </w:tc>
        <w:tc>
          <w:tcPr>
            <w:tcW w:type="dxa" w:w="5083"/>
            <w:tcMar>
              <w:top w:w="90" w:type="dxa"/>
              <w:start w:w="100" w:type="dxa"/>
              <w:bottom w:w="90" w:type="dxa"/>
              <w:end w:w="100" w:type="dxa"/>
            </w:tcMar>
            <w:vAlign w:val="center"/>
          </w:tcPr>
          <w:p>
            <w:pPr>
              <w:spacing w:after="0"/>
            </w:pPr>
            <w:r>
              <w:rPr>
                <w:sz w:val="16"/>
              </w:rPr>
              <w:t>CRM, pipeline analytics, client ROI, margins, case-study data</w:t>
            </w:r>
          </w:p>
        </w:tc>
      </w:tr>
      <w:tr>
        <w:tc>
          <w:tcPr>
            <w:tcW w:type="dxa" w:w="5083"/>
            <w:tcMar>
              <w:top w:w="90" w:type="dxa"/>
              <w:start w:w="100" w:type="dxa"/>
              <w:bottom w:w="90" w:type="dxa"/>
              <w:end w:w="100" w:type="dxa"/>
            </w:tcMar>
            <w:vAlign w:val="center"/>
            <w:shd w:fill="F8FAFC"/>
          </w:tcPr>
          <w:p>
            <w:pPr>
              <w:spacing w:after="0"/>
            </w:pPr>
            <w:r>
              <w:rPr>
                <w:sz w:val="16"/>
              </w:rPr>
              <w:t>F · Platform</w:t>
            </w:r>
          </w:p>
        </w:tc>
        <w:tc>
          <w:tcPr>
            <w:tcW w:type="dxa" w:w="5083"/>
            <w:tcMar>
              <w:top w:w="90" w:type="dxa"/>
              <w:start w:w="100" w:type="dxa"/>
              <w:bottom w:w="90" w:type="dxa"/>
              <w:end w:w="100" w:type="dxa"/>
            </w:tcMar>
            <w:vAlign w:val="center"/>
            <w:shd w:fill="F8FAFC"/>
          </w:tcPr>
          <w:p>
            <w:pPr>
              <w:spacing w:after="0"/>
            </w:pPr>
            <w:r>
              <w:rPr>
                <w:sz w:val="16"/>
              </w:rPr>
              <w:t>Internal CRM/dashboard, audit engine, deployment tracker and knowledge library</w:t>
            </w:r>
          </w:p>
        </w:tc>
      </w:tr>
    </w:tbl>
    <w:p>
      <w:pPr>
        <w:spacing w:after="20"/>
      </w:pPr>
    </w:p>
    <w:p>
      <w:pPr>
        <w:pStyle w:val="Heading1"/>
      </w:pPr>
      <w:r>
        <w:t>16. Decision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Mar>
              <w:top w:w="90" w:type="dxa"/>
              <w:start w:w="100" w:type="dxa"/>
              <w:bottom w:w="90" w:type="dxa"/>
              <w:end w:w="100" w:type="dxa"/>
            </w:tcMar>
          </w:tcPr>
          <w:p>
            <w:r>
              <w:rPr>
                <w:b/>
                <w:color w:val="FFFFFF"/>
                <w:sz w:val="16"/>
              </w:rPr>
              <w:t>Gate</w:t>
            </w:r>
          </w:p>
        </w:tc>
        <w:tc>
          <w:tcPr>
            <w:tcW w:type="dxa" w:w="3389"/>
            <w:shd w:fill="111827"/>
            <w:vAlign w:val="center"/>
            <w:tcMar>
              <w:top w:w="90" w:type="dxa"/>
              <w:start w:w="100" w:type="dxa"/>
              <w:bottom w:w="90" w:type="dxa"/>
              <w:end w:w="100" w:type="dxa"/>
            </w:tcMar>
          </w:tcPr>
          <w:p>
            <w:r>
              <w:rPr>
                <w:b/>
                <w:color w:val="FFFFFF"/>
                <w:sz w:val="16"/>
              </w:rPr>
              <w:t>Evidence required</w:t>
            </w:r>
          </w:p>
        </w:tc>
        <w:tc>
          <w:tcPr>
            <w:tcW w:type="dxa" w:w="3389"/>
            <w:shd w:fill="111827"/>
            <w:vAlign w:val="center"/>
            <w:tcMar>
              <w:top w:w="90" w:type="dxa"/>
              <w:start w:w="100" w:type="dxa"/>
              <w:bottom w:w="90" w:type="dxa"/>
              <w:end w:w="100" w:type="dxa"/>
            </w:tcMar>
          </w:tcPr>
          <w:p>
            <w:r>
              <w:rPr>
                <w:b/>
                <w:color w:val="FFFFFF"/>
                <w:sz w:val="16"/>
              </w:rPr>
              <w:t>Decision</w:t>
            </w:r>
          </w:p>
        </w:tc>
      </w:tr>
      <w:tr>
        <w:tc>
          <w:tcPr>
            <w:tcW w:type="dxa" w:w="3389"/>
            <w:tcMar>
              <w:top w:w="90" w:type="dxa"/>
              <w:start w:w="100" w:type="dxa"/>
              <w:bottom w:w="90" w:type="dxa"/>
              <w:end w:w="100" w:type="dxa"/>
            </w:tcMar>
            <w:vAlign w:val="center"/>
          </w:tcPr>
          <w:p>
            <w:pPr>
              <w:spacing w:after="0"/>
            </w:pPr>
            <w:r>
              <w:rPr>
                <w:sz w:val="15"/>
              </w:rPr>
              <w:t>G1 · Sellability</w:t>
            </w:r>
          </w:p>
        </w:tc>
        <w:tc>
          <w:tcPr>
            <w:tcW w:type="dxa" w:w="3389"/>
            <w:tcMar>
              <w:top w:w="90" w:type="dxa"/>
              <w:start w:w="100" w:type="dxa"/>
              <w:bottom w:w="90" w:type="dxa"/>
              <w:end w:w="100" w:type="dxa"/>
            </w:tcMar>
            <w:vAlign w:val="center"/>
          </w:tcPr>
          <w:p>
            <w:pPr>
              <w:spacing w:after="0"/>
            </w:pPr>
            <w:r>
              <w:rPr>
                <w:sz w:val="15"/>
              </w:rPr>
              <w:t>At least one paid audit from a real external client</w:t>
            </w:r>
          </w:p>
        </w:tc>
        <w:tc>
          <w:tcPr>
            <w:tcW w:type="dxa" w:w="3389"/>
            <w:tcMar>
              <w:top w:w="90" w:type="dxa"/>
              <w:start w:w="100" w:type="dxa"/>
              <w:bottom w:w="90" w:type="dxa"/>
              <w:end w:w="100" w:type="dxa"/>
            </w:tcMar>
            <w:vAlign w:val="center"/>
          </w:tcPr>
          <w:p>
            <w:pPr>
              <w:spacing w:after="0"/>
            </w:pPr>
            <w:r>
              <w:rPr>
                <w:sz w:val="15"/>
              </w:rPr>
              <w:t>Continue offer validation</w:t>
            </w:r>
          </w:p>
        </w:tc>
      </w:tr>
      <w:tr>
        <w:tc>
          <w:tcPr>
            <w:tcW w:type="dxa" w:w="3389"/>
            <w:tcMar>
              <w:top w:w="90" w:type="dxa"/>
              <w:start w:w="100" w:type="dxa"/>
              <w:bottom w:w="90" w:type="dxa"/>
              <w:end w:w="100" w:type="dxa"/>
            </w:tcMar>
            <w:vAlign w:val="center"/>
            <w:shd w:fill="F8FAFC"/>
          </w:tcPr>
          <w:p>
            <w:pPr>
              <w:spacing w:after="0"/>
            </w:pPr>
            <w:r>
              <w:rPr>
                <w:sz w:val="15"/>
              </w:rPr>
              <w:t>G2 · Conversion</w:t>
            </w:r>
          </w:p>
        </w:tc>
        <w:tc>
          <w:tcPr>
            <w:tcW w:type="dxa" w:w="3389"/>
            <w:tcMar>
              <w:top w:w="90" w:type="dxa"/>
              <w:start w:w="100" w:type="dxa"/>
              <w:bottom w:w="90" w:type="dxa"/>
              <w:end w:w="100" w:type="dxa"/>
            </w:tcMar>
            <w:vAlign w:val="center"/>
            <w:shd w:fill="F8FAFC"/>
          </w:tcPr>
          <w:p>
            <w:pPr>
              <w:spacing w:after="0"/>
            </w:pPr>
            <w:r>
              <w:rPr>
                <w:sz w:val="15"/>
              </w:rPr>
              <w:t>Audits convert into pilots/deployments at an acceptable rate</w:t>
            </w:r>
          </w:p>
        </w:tc>
        <w:tc>
          <w:tcPr>
            <w:tcW w:type="dxa" w:w="3389"/>
            <w:tcMar>
              <w:top w:w="90" w:type="dxa"/>
              <w:start w:w="100" w:type="dxa"/>
              <w:bottom w:w="90" w:type="dxa"/>
              <w:end w:w="100" w:type="dxa"/>
            </w:tcMar>
            <w:vAlign w:val="center"/>
            <w:shd w:fill="F8FAFC"/>
          </w:tcPr>
          <w:p>
            <w:pPr>
              <w:spacing w:after="0"/>
            </w:pPr>
            <w:r>
              <w:rPr>
                <w:sz w:val="15"/>
              </w:rPr>
              <w:t>Invest in sales</w:t>
            </w:r>
          </w:p>
        </w:tc>
      </w:tr>
      <w:tr>
        <w:tc>
          <w:tcPr>
            <w:tcW w:type="dxa" w:w="3389"/>
            <w:tcMar>
              <w:top w:w="90" w:type="dxa"/>
              <w:start w:w="100" w:type="dxa"/>
              <w:bottom w:w="90" w:type="dxa"/>
              <w:end w:w="100" w:type="dxa"/>
            </w:tcMar>
            <w:vAlign w:val="center"/>
          </w:tcPr>
          <w:p>
            <w:pPr>
              <w:spacing w:after="0"/>
            </w:pPr>
            <w:r>
              <w:rPr>
                <w:sz w:val="15"/>
              </w:rPr>
              <w:t>G3 · Delivery economics</w:t>
            </w:r>
          </w:p>
        </w:tc>
        <w:tc>
          <w:tcPr>
            <w:tcW w:type="dxa" w:w="3389"/>
            <w:tcMar>
              <w:top w:w="90" w:type="dxa"/>
              <w:start w:w="100" w:type="dxa"/>
              <w:bottom w:w="90" w:type="dxa"/>
              <w:end w:w="100" w:type="dxa"/>
            </w:tcMar>
            <w:vAlign w:val="center"/>
          </w:tcPr>
          <w:p>
            <w:pPr>
              <w:spacing w:after="0"/>
            </w:pPr>
            <w:r>
              <w:rPr>
                <w:sz w:val="15"/>
              </w:rPr>
              <w:t>Projects generate healthy margin without excessive custom work</w:t>
            </w:r>
          </w:p>
        </w:tc>
        <w:tc>
          <w:tcPr>
            <w:tcW w:type="dxa" w:w="3389"/>
            <w:tcMar>
              <w:top w:w="90" w:type="dxa"/>
              <w:start w:w="100" w:type="dxa"/>
              <w:bottom w:w="90" w:type="dxa"/>
              <w:end w:w="100" w:type="dxa"/>
            </w:tcMar>
            <w:vAlign w:val="center"/>
          </w:tcPr>
          <w:p>
            <w:pPr>
              <w:spacing w:after="0"/>
            </w:pPr>
            <w:r>
              <w:rPr>
                <w:sz w:val="15"/>
              </w:rPr>
              <w:t>Productize vertical</w:t>
            </w:r>
          </w:p>
        </w:tc>
      </w:tr>
      <w:tr>
        <w:tc>
          <w:tcPr>
            <w:tcW w:type="dxa" w:w="3389"/>
            <w:tcMar>
              <w:top w:w="90" w:type="dxa"/>
              <w:start w:w="100" w:type="dxa"/>
              <w:bottom w:w="90" w:type="dxa"/>
              <w:end w:w="100" w:type="dxa"/>
            </w:tcMar>
            <w:vAlign w:val="center"/>
            <w:shd w:fill="F8FAFC"/>
          </w:tcPr>
          <w:p>
            <w:pPr>
              <w:spacing w:after="0"/>
            </w:pPr>
            <w:r>
              <w:rPr>
                <w:sz w:val="15"/>
              </w:rPr>
              <w:t>G4 · Repeatability</w:t>
            </w:r>
          </w:p>
        </w:tc>
        <w:tc>
          <w:tcPr>
            <w:tcW w:type="dxa" w:w="3389"/>
            <w:tcMar>
              <w:top w:w="90" w:type="dxa"/>
              <w:start w:w="100" w:type="dxa"/>
              <w:bottom w:w="90" w:type="dxa"/>
              <w:end w:w="100" w:type="dxa"/>
            </w:tcMar>
            <w:vAlign w:val="center"/>
            <w:shd w:fill="F8FAFC"/>
          </w:tcPr>
          <w:p>
            <w:pPr>
              <w:spacing w:after="0"/>
            </w:pPr>
            <w:r>
              <w:rPr>
                <w:sz w:val="15"/>
              </w:rPr>
              <w:t>Multiple clients delivered using mostly reusable assets</w:t>
            </w:r>
          </w:p>
        </w:tc>
        <w:tc>
          <w:tcPr>
            <w:tcW w:type="dxa" w:w="3389"/>
            <w:tcMar>
              <w:top w:w="90" w:type="dxa"/>
              <w:start w:w="100" w:type="dxa"/>
              <w:bottom w:w="90" w:type="dxa"/>
              <w:end w:w="100" w:type="dxa"/>
            </w:tcMar>
            <w:vAlign w:val="center"/>
            <w:shd w:fill="F8FAFC"/>
          </w:tcPr>
          <w:p>
            <w:pPr>
              <w:spacing w:after="0"/>
            </w:pPr>
            <w:r>
              <w:rPr>
                <w:sz w:val="15"/>
              </w:rPr>
              <w:t>Add reps / partners</w:t>
            </w:r>
          </w:p>
        </w:tc>
      </w:tr>
      <w:tr>
        <w:tc>
          <w:tcPr>
            <w:tcW w:type="dxa" w:w="3389"/>
            <w:tcMar>
              <w:top w:w="90" w:type="dxa"/>
              <w:start w:w="100" w:type="dxa"/>
              <w:bottom w:w="90" w:type="dxa"/>
              <w:end w:w="100" w:type="dxa"/>
            </w:tcMar>
            <w:vAlign w:val="center"/>
          </w:tcPr>
          <w:p>
            <w:pPr>
              <w:spacing w:after="0"/>
            </w:pPr>
            <w:r>
              <w:rPr>
                <w:sz w:val="15"/>
              </w:rPr>
              <w:t>G5 · Paid acquisition</w:t>
            </w:r>
          </w:p>
        </w:tc>
        <w:tc>
          <w:tcPr>
            <w:tcW w:type="dxa" w:w="3389"/>
            <w:tcMar>
              <w:top w:w="90" w:type="dxa"/>
              <w:start w:w="100" w:type="dxa"/>
              <w:bottom w:w="90" w:type="dxa"/>
              <w:end w:w="100" w:type="dxa"/>
            </w:tcMar>
            <w:vAlign w:val="center"/>
          </w:tcPr>
          <w:p>
            <w:pPr>
              <w:spacing w:after="0"/>
            </w:pPr>
            <w:r>
              <w:rPr>
                <w:sz w:val="15"/>
              </w:rPr>
              <w:t>Known CAC tolerance from real conversion and margin data</w:t>
            </w:r>
          </w:p>
        </w:tc>
        <w:tc>
          <w:tcPr>
            <w:tcW w:type="dxa" w:w="3389"/>
            <w:tcMar>
              <w:top w:w="90" w:type="dxa"/>
              <w:start w:w="100" w:type="dxa"/>
              <w:bottom w:w="90" w:type="dxa"/>
              <w:end w:w="100" w:type="dxa"/>
            </w:tcMar>
            <w:vAlign w:val="center"/>
          </w:tcPr>
          <w:p>
            <w:pPr>
              <w:spacing w:after="0"/>
            </w:pPr>
            <w:r>
              <w:rPr>
                <w:sz w:val="15"/>
              </w:rPr>
              <w:t>Scale ads</w:t>
            </w:r>
          </w:p>
        </w:tc>
      </w:tr>
      <w:tr>
        <w:tc>
          <w:tcPr>
            <w:tcW w:type="dxa" w:w="3389"/>
            <w:tcMar>
              <w:top w:w="90" w:type="dxa"/>
              <w:start w:w="100" w:type="dxa"/>
              <w:bottom w:w="90" w:type="dxa"/>
              <w:end w:w="100" w:type="dxa"/>
            </w:tcMar>
            <w:vAlign w:val="center"/>
            <w:shd w:fill="F8FAFC"/>
          </w:tcPr>
          <w:p>
            <w:pPr>
              <w:spacing w:after="0"/>
            </w:pPr>
            <w:r>
              <w:rPr>
                <w:sz w:val="15"/>
              </w:rPr>
              <w:t>G6 · Expansion</w:t>
            </w:r>
          </w:p>
        </w:tc>
        <w:tc>
          <w:tcPr>
            <w:tcW w:type="dxa" w:w="3389"/>
            <w:tcMar>
              <w:top w:w="90" w:type="dxa"/>
              <w:start w:w="100" w:type="dxa"/>
              <w:bottom w:w="90" w:type="dxa"/>
              <w:end w:w="100" w:type="dxa"/>
            </w:tcMar>
            <w:vAlign w:val="center"/>
            <w:shd w:fill="F8FAFC"/>
          </w:tcPr>
          <w:p>
            <w:pPr>
              <w:spacing w:after="0"/>
            </w:pPr>
            <w:r>
              <w:rPr>
                <w:sz w:val="15"/>
              </w:rPr>
              <w:t>One vertical consistently works</w:t>
            </w:r>
          </w:p>
        </w:tc>
        <w:tc>
          <w:tcPr>
            <w:tcW w:type="dxa" w:w="3389"/>
            <w:tcMar>
              <w:top w:w="90" w:type="dxa"/>
              <w:start w:w="100" w:type="dxa"/>
              <w:bottom w:w="90" w:type="dxa"/>
              <w:end w:w="100" w:type="dxa"/>
            </w:tcMar>
            <w:vAlign w:val="center"/>
            <w:shd w:fill="F8FAFC"/>
          </w:tcPr>
          <w:p>
            <w:pPr>
              <w:spacing w:after="0"/>
            </w:pPr>
            <w:r>
              <w:rPr>
                <w:sz w:val="15"/>
              </w:rPr>
              <w:t>Add next geography / vertical</w:t>
            </w:r>
          </w:p>
        </w:tc>
      </w:tr>
    </w:tbl>
    <w:p>
      <w:pPr>
        <w:spacing w:after="20"/>
      </w:pPr>
    </w:p>
    <w:p>
      <w:pPr>
        <w:pStyle w:val="Heading1"/>
      </w:pPr>
      <w:r>
        <w:t>17. Immediate priorities — next 7 days</w:t>
      </w:r>
    </w:p>
    <w:p>
      <w:pPr>
        <w:pStyle w:val="ListNumber"/>
        <w:spacing w:after="40"/>
      </w:pPr>
      <w:r>
        <w:t>Freeze RH Agentic Operations positioning and scope.</w:t>
      </w:r>
    </w:p>
    <w:p>
      <w:pPr>
        <w:pStyle w:val="ListNumber"/>
        <w:spacing w:after="40"/>
      </w:pPr>
      <w:r>
        <w:t>Build Agentic Operations Audit v1: questionnaire, process map, score, ROI and final report template.</w:t>
      </w:r>
    </w:p>
    <w:p>
      <w:pPr>
        <w:pStyle w:val="ListNumber"/>
        <w:spacing w:after="40"/>
      </w:pPr>
      <w:r>
        <w:t>Document RH and Treadstone before/after cases internally.</w:t>
      </w:r>
    </w:p>
    <w:p>
      <w:pPr>
        <w:pStyle w:val="ListNumber"/>
        <w:spacing w:after="40"/>
      </w:pPr>
      <w:r>
        <w:t>Create Contractor and Beauty v1 process libraries.</w:t>
      </w:r>
    </w:p>
    <w:p>
      <w:pPr>
        <w:pStyle w:val="ListNumber"/>
        <w:spacing w:after="40"/>
      </w:pPr>
      <w:r>
        <w:t>Define Pilot and Deployment proposal templates and audit-credit policy.</w:t>
      </w:r>
    </w:p>
    <w:p>
      <w:pPr>
        <w:pStyle w:val="ListNumber"/>
        <w:spacing w:after="40"/>
      </w:pPr>
      <w:r>
        <w:t>Build the internal CRM/dashboard MVP specified in the separate PDR, using the existing Instagram automation as an integration rather than a duplicate project.</w:t>
      </w:r>
    </w:p>
    <w:p>
      <w:pPr>
        <w:pStyle w:val="ListNumber"/>
        <w:spacing w:after="40"/>
      </w:pPr>
      <w:r>
        <w:t>Prepare sales deck + landing only after the audit and proof assets are coherent.</w:t>
      </w:r>
    </w:p>
    <w:p>
      <w:pPr>
        <w:pStyle w:val="Heading1"/>
      </w:pPr>
      <w:r>
        <w:t>18. Strategic conclusion</w:t>
      </w:r>
    </w:p>
    <w:p>
      <w:r>
        <w:t>RH Agentic Operations should be treated as a new high-ticket product line with the potential to become a repeatable operating system for multiple verticals. The immediate goal is not broad geographic expansion or a large technology build. The goal is to prove a paid audit, convert it into measurable deployments, capture the resulting IP, and then scale distribution. Growth Products remain valuable as a self-service and acquisition layer; traditional RH services remain available where they fit. All three reinforce one positioning: RH Digital Agency as a growth partner that combines business process expertise with modern AI execution.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RH Digital Agency · 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HSmall"/>
      <w:jc w:val="right"/>
    </w:pPr>
    <w:r>
      <w:t>RH Agentic Operations · Strategic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C49A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HSmall">
    <w:name w:val="RH Small"/>
    <w:pPr>
      <w:spacing w:after="40"/>
    </w:pPr>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