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#2</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 xml:space="preserve">   Research Assessment #2</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Annotated Bibliography Assessment</w:t>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September 12th, 2025</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w:t>
      </w: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Citation, </w:t>
      </w: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Introduction,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Aims &amp; Research Methods,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Scope,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Usefulness,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4a86e8" w:val="clear"/>
          <w:rtl w:val="0"/>
        </w:rPr>
        <w:t xml:space="preserve">(6) </w:t>
      </w:r>
      <w:r w:rsidDel="00000000" w:rsidR="00000000" w:rsidRPr="00000000">
        <w:rPr>
          <w:rFonts w:ascii="Times New Roman" w:cs="Times New Roman" w:eastAsia="Times New Roman" w:hAnsi="Times New Roman"/>
          <w:sz w:val="24"/>
          <w:szCs w:val="24"/>
          <w:rtl w:val="0"/>
        </w:rPr>
        <w:t xml:space="preserve">Limitations,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Conclusion,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Reflection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Khan, Salman, et al. “Transformers in Vision: A Survey.” </w:t>
      </w:r>
      <w:r w:rsidDel="00000000" w:rsidR="00000000" w:rsidRPr="00000000">
        <w:rPr>
          <w:rFonts w:ascii="Times New Roman" w:cs="Times New Roman" w:eastAsia="Times New Roman" w:hAnsi="Times New Roman"/>
          <w:i w:val="1"/>
          <w:iCs w:val="1"/>
          <w:sz w:val="24"/>
          <w:szCs w:val="24"/>
          <w:rtl w:val="0"/>
        </w:rPr>
        <w:t xml:space="preserve">ACM Computing Surveys</w:t>
      </w:r>
      <w:r w:rsidDel="00000000" w:rsidR="00000000" w:rsidRPr="00000000">
        <w:rPr>
          <w:rFonts w:ascii="Times New Roman" w:cs="Times New Roman" w:eastAsia="Times New Roman" w:hAnsi="Times New Roman"/>
          <w:sz w:val="24"/>
          <w:szCs w:val="24"/>
          <w:rtl w:val="0"/>
        </w:rPr>
        <w:t xml:space="preserve">, vol. 54, no. 10s, 2022, article 200. https://doi.org/10.1145/3505244. </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This survey articulates how Vision Transformers altered computer vision by illustrating how self-attention connects disparate regions in an image, along with large-scale pretraining to provide the statistical signal behind stable and general features, which improve classification, detection, and segmentation when paired together.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The authors summarize existing literature rather than reporting their own experiments and provide a taxonomy to compare image tokenization; attention layouts by layer; positional encodings; optimization schedules; and a survey of benchmark results leveraged by multiple groups.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The coverage includes core image tasks and extends to video understanding and vision and language, and discusses hybrid models that maintain local inductive bias through convolution while adding a global reasoning component, with comments on robustness, transfer learning, augmentation, and regularization.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For my own work this becomes a practical checklist for each new paper I read, including how pairs of tokens are formed, whether the attention is limited to local patches or global, what data is bolstering pretraining, and whether evaluation is considering accuracy and stability. </w:t>
      </w:r>
      <w:r w:rsidDel="00000000" w:rsidR="00000000" w:rsidRPr="00000000">
        <w:rPr>
          <w:rFonts w:ascii="Times New Roman" w:cs="Times New Roman" w:eastAsia="Times New Roman" w:hAnsi="Times New Roman"/>
          <w:sz w:val="24"/>
          <w:szCs w:val="24"/>
          <w:shd w:fill="4a86e8" w:val="clear"/>
          <w:rtl w:val="0"/>
        </w:rPr>
        <w:t xml:space="preserve">(6)</w:t>
      </w:r>
      <w:r w:rsidDel="00000000" w:rsidR="00000000" w:rsidRPr="00000000">
        <w:rPr>
          <w:rFonts w:ascii="Times New Roman" w:cs="Times New Roman" w:eastAsia="Times New Roman" w:hAnsi="Times New Roman"/>
          <w:sz w:val="24"/>
          <w:szCs w:val="24"/>
          <w:rtl w:val="0"/>
        </w:rPr>
        <w:t xml:space="preserve"> As the field is fast moving the survey could not give a thorough review of every sub-area and notably predates a number of simple data and efficiency techniques so I will accompany this with more recent sources when I need to stay current on the finer details.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Moving forward I will investigate whether smaller size tokens or more intensive data curation serves to improve sample efficiency for my dataset and I will compare a pure transformer with a hybrid model that retains earlier convolution to see which struck a better balance between accuracy and compute cost.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I will write down for each model the data information, compute budget, breadth of the evaluation, and specific problem it identified to be solved to substantiate my impressions with fact rather than fashion.</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Li, Xiangtai, et al. “Transformer-Based Visual Segmentation: A Survey.” </w:t>
      </w:r>
      <w:r w:rsidDel="00000000" w:rsidR="00000000" w:rsidRPr="00000000">
        <w:rPr>
          <w:rFonts w:ascii="Times New Roman" w:cs="Times New Roman" w:eastAsia="Times New Roman" w:hAnsi="Times New Roman"/>
          <w:i w:val="1"/>
          <w:iCs w:val="1"/>
          <w:sz w:val="24"/>
          <w:szCs w:val="24"/>
          <w:rtl w:val="0"/>
        </w:rPr>
        <w:t xml:space="preserve">IEEE Transactions on Pattern Analysis and Machine Intelligence</w:t>
      </w:r>
      <w:r w:rsidDel="00000000" w:rsidR="00000000" w:rsidRPr="00000000">
        <w:rPr>
          <w:rFonts w:ascii="Times New Roman" w:cs="Times New Roman" w:eastAsia="Times New Roman" w:hAnsi="Times New Roman"/>
          <w:sz w:val="24"/>
          <w:szCs w:val="24"/>
          <w:rtl w:val="0"/>
        </w:rPr>
        <w:t xml:space="preserve">, vol. 46, no. 12, 2024, pp. 10138–10163. https://doi.org/10.1109/TPAMI.2024.3434373. </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This paper illustrates how transformers lead to improved segmentation because they enable a model to capture scene level context while decoders maintain edges and fine structures, and this is important because accurate masks are dependent on cues from far away rather than being dependent on local filters.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The authors develop a rigorous taxonomy and re assess representative models under a unified condition using shared datasets, removing noise from recipe variations and linking design decisions to results, and the paper also assesses how windowed attention and multi scale features impact boundary quality and responsiveness.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They cover semantic, instance, and panoptic segmentation; cycling methods with efficiency minded designs to support limited hardware; domain adaptation to new data sources; medical images with balanced recall and precision; and three dimensional point cloud segmentation, including its sampling and neighborhood limitations.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I can translate these findings to distinct design rules like how deep the encoder can go before the decoder loses detail; when to fuse multi scale features; how to limit attention costs; and what metrics are important for an individual application beyond a single mean score. </w:t>
      </w:r>
      <w:r w:rsidDel="00000000" w:rsidR="00000000" w:rsidRPr="00000000">
        <w:rPr>
          <w:rFonts w:ascii="Times New Roman" w:cs="Times New Roman" w:eastAsia="Times New Roman" w:hAnsi="Times New Roman"/>
          <w:sz w:val="24"/>
          <w:szCs w:val="24"/>
          <w:shd w:fill="4a86e8" w:val="clear"/>
          <w:rtl w:val="0"/>
        </w:rPr>
        <w:t xml:space="preserve">(6)</w:t>
      </w:r>
      <w:r w:rsidDel="00000000" w:rsidR="00000000" w:rsidRPr="00000000">
        <w:rPr>
          <w:rFonts w:ascii="Times New Roman" w:cs="Times New Roman" w:eastAsia="Times New Roman" w:hAnsi="Times New Roman"/>
          <w:sz w:val="24"/>
          <w:szCs w:val="24"/>
          <w:rtl w:val="0"/>
        </w:rPr>
        <w:t xml:space="preserve"> The article assumes that the reader is acquainted with common metrics and baselines and that compute measures can still vary from one project to the next so I will pay close attention to hardware and schedules when comparing or replicating my results.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I will prototype two segmenters that only differ by attention window size and multi scale fusion then report their accuracy and throughput and memory to reliably choose the most balanced design.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My evaluations will always pair quality with time and memory and I will justify each architectural design change using the tradeoffs this survey laid out so that my evaluations will remain fair and realistic.</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He, Xuehai, et al. “Parameter-Efficient Model Adaptation for Vision Transformers.” </w:t>
      </w:r>
      <w:r w:rsidDel="00000000" w:rsidR="00000000" w:rsidRPr="00000000">
        <w:rPr>
          <w:rFonts w:ascii="Times New Roman" w:cs="Times New Roman" w:eastAsia="Times New Roman" w:hAnsi="Times New Roman"/>
          <w:i w:val="1"/>
          <w:iCs w:val="1"/>
          <w:sz w:val="24"/>
          <w:szCs w:val="24"/>
          <w:rtl w:val="0"/>
        </w:rPr>
        <w:t xml:space="preserve">Proceedings of the AAAI Conference on Artificial Intelligence</w:t>
      </w:r>
      <w:r w:rsidDel="00000000" w:rsidR="00000000" w:rsidRPr="00000000">
        <w:rPr>
          <w:rFonts w:ascii="Times New Roman" w:cs="Times New Roman" w:eastAsia="Times New Roman" w:hAnsi="Times New Roman"/>
          <w:sz w:val="24"/>
          <w:szCs w:val="24"/>
          <w:rtl w:val="0"/>
        </w:rPr>
        <w:t xml:space="preserve">, vol. 37, no. 1, 2023. https://doi.org/10.1609/aaai.v37i1.25160. </w:t>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This paper looks directly at the practical issue of what to do with a pretrained Vision Transformer if full weight updates are infeasible due to time or energy restrictions, and demonstrates how small additional modules to steer a large model to a new task.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The authors compare linear probing, adapter style updates that contribute small layers, and a low rank Kronecker method that adjusts a compact amount of parameters, and provide comparisons across many image datasets in few shot and full data situations, reporting, accuracy, number of parameters trained, and memory cost, so the tradeoff is visible.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The authors conduct this research in a classification transfer context, but their strategies are modular and could attach to other transformer backbones since their updates remain in small pieces in lightweight components and do not demand a rewrite of the base network.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For me this provides a principled plan that utilizes the lightest method that gets you in with the budget, measures correctly, and only escalates if you metrics demand it, which also makes deployment simpler since the backbone is largely unchanged. </w:t>
      </w:r>
      <w:r w:rsidDel="00000000" w:rsidR="00000000" w:rsidRPr="00000000">
        <w:rPr>
          <w:rFonts w:ascii="Times New Roman" w:cs="Times New Roman" w:eastAsia="Times New Roman" w:hAnsi="Times New Roman"/>
          <w:sz w:val="24"/>
          <w:szCs w:val="24"/>
          <w:shd w:fill="4a86e8" w:val="clear"/>
          <w:rtl w:val="0"/>
        </w:rPr>
        <w:t xml:space="preserve">(6)</w:t>
      </w:r>
      <w:r w:rsidDel="00000000" w:rsidR="00000000" w:rsidRPr="00000000">
        <w:rPr>
          <w:rFonts w:ascii="Times New Roman" w:cs="Times New Roman" w:eastAsia="Times New Roman" w:hAnsi="Times New Roman"/>
          <w:sz w:val="24"/>
          <w:szCs w:val="24"/>
          <w:rtl w:val="0"/>
        </w:rPr>
        <w:t xml:space="preserve"> They do not cover dense prediction tasks and there are a few training choices that depend on the starting checkpoint, so I will note the base model and learning schedule so I can be exact in reproduction.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I will start with an adapter baseline and a low rank update on my dataset, and measure accuracy, training time, and memory use, upgrading to full fine tuning only if the improvements warrant the added cost.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This approach provides the opportunity to conserve resources, report clearly visible tradeoffs, and keep experiments straightforward to reproduce on modest hardware.</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Kirillov, Alexander, et al. “Segment Anything.” Proceedings of the IEEE/CVF International Conference on Computer Vision (ICCV), 2023, pp. 4015–4026. IEEE/CVF Open Access, </w:t>
      </w:r>
      <w:r w:rsidDel="00000000" w:rsidR="00000000" w:rsidRPr="00000000">
        <w:rPr>
          <w:rFonts w:ascii="Times New Roman" w:cs="Times New Roman" w:eastAsia="Times New Roman" w:hAnsi="Times New Roman"/>
          <w:sz w:val="24"/>
          <w:szCs w:val="24"/>
          <w:rtl w:val="0"/>
        </w:rPr>
        <w:t xml:space="preserve">https://openaccess.thecvf.com/content/ICCV2023/html/Kirillov_Segment_Anything_ICCV_2023_paper.html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This paper reframes segmentation as a prompt driven activity by training a transformer encoder on a very large and diverse mask dataset, leveraging very small inputs like a point or box to guide the same backbone to produce masks across many domains.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The team built a data engine with humans in the loop to make and verify masks, trained a computationally efficient encoder, and demonstrated broad transfer without any task specific training across many scenarios to demonstrate breadth rather than just a narrow single benchmark win.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The scope is intended to be general image segmentation for reuse, where one encoder can support many tasks with small heads or simply prompt changes rather than repeated full retraining.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For my own workflow this implies rapid iteration because I can adapt through prompts and light heads, and only reserve heavy training when a task does not respond to prompting. </w:t>
      </w:r>
      <w:r w:rsidDel="00000000" w:rsidR="00000000" w:rsidRPr="00000000">
        <w:rPr>
          <w:rFonts w:ascii="Times New Roman" w:cs="Times New Roman" w:eastAsia="Times New Roman" w:hAnsi="Times New Roman"/>
          <w:sz w:val="24"/>
          <w:szCs w:val="24"/>
          <w:shd w:fill="4a86e8" w:val="clear"/>
          <w:rtl w:val="0"/>
        </w:rPr>
        <w:t xml:space="preserve">(6)</w:t>
      </w:r>
      <w:r w:rsidDel="00000000" w:rsidR="00000000" w:rsidRPr="00000000">
        <w:rPr>
          <w:rFonts w:ascii="Times New Roman" w:cs="Times New Roman" w:eastAsia="Times New Roman" w:hAnsi="Times New Roman"/>
          <w:sz w:val="24"/>
          <w:szCs w:val="24"/>
          <w:rtl w:val="0"/>
        </w:rPr>
        <w:t xml:space="preserve"> The approach takes a lot of data and computation and very thin or small structures can be challenging after all, so I will measure boundary behavior on hard cases, and state these boundaries when I describe readiness for a real use.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I will evaluate a prompt first baseline on my data varied by prompt number and type and only after will I decide whether to develop a small task head or just do a short fine tune.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By treating a strong reusable backbone as the default I will save time and energy, while also ensuring that my results are consistent with realistic constraints.</w:t>
      </w:r>
    </w:p>
    <w:p w:rsidR="00000000" w:rsidDel="00000000" w:rsidP="00000000" w:rsidRDefault="00000000" w:rsidRPr="00000000" w14:paraId="0000001C">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red"/>
          <w:rtl w:val="0"/>
        </w:rPr>
        <w:t xml:space="preserve">(1)</w:t>
      </w:r>
      <w:r w:rsidDel="00000000" w:rsidR="00000000" w:rsidRPr="00000000">
        <w:rPr>
          <w:rFonts w:ascii="Times New Roman" w:cs="Times New Roman" w:eastAsia="Times New Roman" w:hAnsi="Times New Roman"/>
          <w:sz w:val="24"/>
          <w:szCs w:val="24"/>
          <w:rtl w:val="0"/>
        </w:rPr>
        <w:t xml:space="preserve"> Oquab, Maxime, et al. “DINOv2: Learning Robust Visual Features without Supervision.”</w:t>
      </w:r>
    </w:p>
    <w:p w:rsidR="00000000" w:rsidDel="00000000" w:rsidP="00000000" w:rsidRDefault="00000000" w:rsidRPr="00000000" w14:paraId="0000001F">
      <w:pPr>
        <w:spacing w:after="240" w:before="240" w:line="24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arXiv</w:t>
      </w:r>
      <w:r w:rsidDel="00000000" w:rsidR="00000000" w:rsidRPr="00000000">
        <w:rPr>
          <w:rFonts w:ascii="Times New Roman" w:cs="Times New Roman" w:eastAsia="Times New Roman" w:hAnsi="Times New Roman"/>
          <w:sz w:val="24"/>
          <w:szCs w:val="24"/>
          <w:rtl w:val="0"/>
        </w:rPr>
        <w:t xml:space="preserve">, 2023, arXiv:2304.07193. </w:t>
      </w:r>
      <w:r w:rsidDel="00000000" w:rsidR="00000000" w:rsidRPr="00000000">
        <w:rPr>
          <w:rFonts w:ascii="Times New Roman" w:cs="Times New Roman" w:eastAsia="Times New Roman" w:hAnsi="Times New Roman"/>
          <w:sz w:val="24"/>
          <w:szCs w:val="24"/>
          <w:rtl w:val="0"/>
        </w:rPr>
        <w:t xml:space="preserve">https://arxiv.org/abs/2304.07193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after="240" w:before="240" w:line="240" w:lineRule="auto"/>
        <w:ind w:left="144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(2)</w:t>
      </w:r>
      <w:r w:rsidDel="00000000" w:rsidR="00000000" w:rsidRPr="00000000">
        <w:rPr>
          <w:rFonts w:ascii="Times New Roman" w:cs="Times New Roman" w:eastAsia="Times New Roman" w:hAnsi="Times New Roman"/>
          <w:sz w:val="24"/>
          <w:szCs w:val="24"/>
          <w:rtl w:val="0"/>
        </w:rPr>
        <w:t xml:space="preserve"> This paper shows that careful self-supervised training of transformers can learn transferable features for too many tasks which decreases the number of labels required to accomplish a task as well as baselining performance on novel projects. </w:t>
      </w:r>
      <w:r w:rsidDel="00000000" w:rsidR="00000000" w:rsidRPr="00000000">
        <w:rPr>
          <w:rFonts w:ascii="Times New Roman" w:cs="Times New Roman" w:eastAsia="Times New Roman" w:hAnsi="Times New Roman"/>
          <w:sz w:val="24"/>
          <w:szCs w:val="24"/>
          <w:highlight w:val="yellow"/>
          <w:rtl w:val="0"/>
        </w:rPr>
        <w:t xml:space="preserve">(3)</w:t>
      </w:r>
      <w:r w:rsidDel="00000000" w:rsidR="00000000" w:rsidRPr="00000000">
        <w:rPr>
          <w:rFonts w:ascii="Times New Roman" w:cs="Times New Roman" w:eastAsia="Times New Roman" w:hAnsi="Times New Roman"/>
          <w:sz w:val="24"/>
          <w:szCs w:val="24"/>
          <w:rtl w:val="0"/>
        </w:rPr>
        <w:t xml:space="preserve"> The authors curate diverse data, stabilize optimization, scale model size in a controlled and transparent manner, and distill a very large model into smaller models while assessing transfer on image-level and pixel-level tasks to evaluate if learned features would yield useful information beyond the pre-training objective and to evaluate the robustness of learned features. </w:t>
      </w:r>
      <w:r w:rsidDel="00000000" w:rsidR="00000000" w:rsidRPr="00000000">
        <w:rPr>
          <w:rFonts w:ascii="Times New Roman" w:cs="Times New Roman" w:eastAsia="Times New Roman" w:hAnsi="Times New Roman"/>
          <w:sz w:val="24"/>
          <w:szCs w:val="24"/>
          <w:highlight w:val="green"/>
          <w:rtl w:val="0"/>
        </w:rPr>
        <w:t xml:space="preserve">(4)</w:t>
      </w:r>
      <w:r w:rsidDel="00000000" w:rsidR="00000000" w:rsidRPr="00000000">
        <w:rPr>
          <w:rFonts w:ascii="Times New Roman" w:cs="Times New Roman" w:eastAsia="Times New Roman" w:hAnsi="Times New Roman"/>
          <w:sz w:val="24"/>
          <w:szCs w:val="24"/>
          <w:rtl w:val="0"/>
        </w:rPr>
        <w:t xml:space="preserve"> Given the scope is representation learning and not one isolated application, the results would be interesting to classification, segmentation, and retrieval since one strong backbone could support all of them with small heads or adapters. </w:t>
      </w:r>
      <w:r w:rsidDel="00000000" w:rsidR="00000000" w:rsidRPr="00000000">
        <w:rPr>
          <w:rFonts w:ascii="Times New Roman" w:cs="Times New Roman" w:eastAsia="Times New Roman" w:hAnsi="Times New Roman"/>
          <w:sz w:val="24"/>
          <w:szCs w:val="24"/>
          <w:highlight w:val="cyan"/>
          <w:rtl w:val="0"/>
        </w:rPr>
        <w:t xml:space="preserve">(5)</w:t>
      </w:r>
      <w:r w:rsidDel="00000000" w:rsidR="00000000" w:rsidRPr="00000000">
        <w:rPr>
          <w:rFonts w:ascii="Times New Roman" w:cs="Times New Roman" w:eastAsia="Times New Roman" w:hAnsi="Times New Roman"/>
          <w:sz w:val="24"/>
          <w:szCs w:val="24"/>
          <w:rtl w:val="0"/>
        </w:rPr>
        <w:t xml:space="preserve"> This will aid my planning of experiments efficiently since I can use a general backbone that encodes meaningful structure to then append a small task head or a parameter efficient adapter instead of starting from scratch, which saves time and induces consistency across studies. </w:t>
      </w:r>
      <w:r w:rsidDel="00000000" w:rsidR="00000000" w:rsidRPr="00000000">
        <w:rPr>
          <w:rFonts w:ascii="Times New Roman" w:cs="Times New Roman" w:eastAsia="Times New Roman" w:hAnsi="Times New Roman"/>
          <w:sz w:val="24"/>
          <w:szCs w:val="24"/>
          <w:shd w:fill="4a86e8" w:val="clear"/>
          <w:rtl w:val="0"/>
        </w:rPr>
        <w:t xml:space="preserve">(6)</w:t>
      </w:r>
      <w:r w:rsidDel="00000000" w:rsidR="00000000" w:rsidRPr="00000000">
        <w:rPr>
          <w:rFonts w:ascii="Times New Roman" w:cs="Times New Roman" w:eastAsia="Times New Roman" w:hAnsi="Times New Roman"/>
          <w:sz w:val="24"/>
          <w:szCs w:val="24"/>
          <w:rtl w:val="0"/>
        </w:rPr>
        <w:t xml:space="preserve"> The training recipe is relatively resource-intensive, and it will be hard to fully reproduce the results, so I will document which pieces I adopt and which pieces I approximate and I will identify differences in data curation or optimization that may influence outcome. </w:t>
      </w:r>
      <w:r w:rsidDel="00000000" w:rsidR="00000000" w:rsidRPr="00000000">
        <w:rPr>
          <w:rFonts w:ascii="Times New Roman" w:cs="Times New Roman" w:eastAsia="Times New Roman" w:hAnsi="Times New Roman"/>
          <w:sz w:val="24"/>
          <w:szCs w:val="24"/>
          <w:shd w:fill="9900ff" w:val="clear"/>
          <w:rtl w:val="0"/>
        </w:rPr>
        <w:t xml:space="preserve">(7)</w:t>
      </w:r>
      <w:r w:rsidDel="00000000" w:rsidR="00000000" w:rsidRPr="00000000">
        <w:rPr>
          <w:rFonts w:ascii="Times New Roman" w:cs="Times New Roman" w:eastAsia="Times New Roman" w:hAnsi="Times New Roman"/>
          <w:sz w:val="24"/>
          <w:szCs w:val="24"/>
          <w:rtl w:val="0"/>
        </w:rPr>
        <w:t xml:space="preserve"> I will begin with a self-supervised backbone for my task, evaluate the increase over a supervised baseline, evaluate whether a small adapter can recover most accuracy by learning fewer parameters, and then decide whether a larger model's implications are justified. </w:t>
      </w:r>
      <w:r w:rsidDel="00000000" w:rsidR="00000000" w:rsidRPr="00000000">
        <w:rPr>
          <w:rFonts w:ascii="Times New Roman" w:cs="Times New Roman" w:eastAsia="Times New Roman" w:hAnsi="Times New Roman"/>
          <w:sz w:val="24"/>
          <w:szCs w:val="24"/>
          <w:highlight w:val="magenta"/>
          <w:rtl w:val="0"/>
        </w:rPr>
        <w:t xml:space="preserve">(8)</w:t>
      </w:r>
      <w:r w:rsidDel="00000000" w:rsidR="00000000" w:rsidRPr="00000000">
        <w:rPr>
          <w:rFonts w:ascii="Times New Roman" w:cs="Times New Roman" w:eastAsia="Times New Roman" w:hAnsi="Times New Roman"/>
          <w:sz w:val="24"/>
          <w:szCs w:val="24"/>
          <w:rtl w:val="0"/>
        </w:rPr>
        <w:t xml:space="preserve"> I will track how this choice changes accuracy, training time, and robustness so that my choices around methods are justified by evidence.</w:t>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