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#5</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Original Work Part #1</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October 31st, 2025</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E">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Schwartz, Roy, et al. “Green AI | Communications of the ACM.” ACM Digital Library, 17 Nov. 2020, dl.acm.org/doi/10.1145/3381831. Accessed 30 Oct. 2025.</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“Green AI” proposes that artificial intelligence development should be evaluated through both maximum achievement levels and the total amount of resources needed to achieve them including computational power and financial costs and energy usage and time requirements. The authors identify the previous practice of developing bigger models to achieve small accuracy improvements as “Red AI” while suggesting organizations should measure both efficiency and value alongside performance. The text changed my perspective about what constitutes better performance in artificial intelligence systems. The training taught me to use exact terminology which includes accuracy-per-resource and reporting training and inference cost and hardware transparency. The training taught me to design systems which perform only the necessary computational work for their tasks.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perspective is immediately relevant to my Original Work. The Adaptive Resolution Vision Simulator I develop starts with low-resolution processing before moving to higher resolution only when the model shows uncertainty. I used to prioritize accuracy above all else before reading this article while considering efficiency as an additional benefit. The school environment with restricted GPU access makes efficiency stand as a fundamental objective for me. The article gives my design ethical value because it prevents waste by using simple computational techniques and creates a systematic approach to track expenses which replaces traditional error-focused methods. The project transformed my work requirements because my simulator now displays resource usage metrics including FLOPs savings and latency and energy consumption estimates which students can view during their predictions.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paper breakdown enabled me to convert my concepts into physical construction elements. The present system receives criticism because it gives more value to bigger models even though their performance deteriorates and it focuses on leaderboard rankings as the primary measure of progress. Second, researchers need to establish an evaluation framework which requires them to define specific assessment criteria for energy usage and hardware details. Third, there are practice‑level norms: include efficient baselines, publish costs, and compare models on accuracy relative to budget. Classifying the article this way clarified my project plan. The critique motivates my problem statement (compute is a barrier for classrooms). The framework determines my approach to use confidence-gated multi-resolution inference methods. The reporting norms guide my work through tables which show performance threshold relationships with accuracy levels and FLOPs and latency measurements and a short section about hardware and methods. The previous definition of “best model” as the model with highest accuracy does not apply to this current situation. The trade-off in accuracy becomes acceptable because it results in major decreases in computational work and learning duration for students.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information merged with my previous research on dynamic inference to create a distinct design approach. Each image will be processed first at 64×64. If the maximum softmax probability is above a threshold, the prediction is accepted and the system does not expend extra computation. If it falls below, the same image is reprocessed at 128×128 and the higher‑detail result is used. I will run threshold sweeping from 0.60 to 0.95 to obtain final accuracy and three additional metrics which include image escalation percentage and FLOPs per image and latency distribution data. The simulator lets users make these decisions through interactive sliders and side-by-side output displays and a continuously updating “resources saved” counter which demonstrates to users how their threshold selection impacts both accuracy and cost results.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also generated new questions that extend my work. The process of confidence calibration requires determination because temperature scaling methods need to reduce unnecessary escalation while maintaining the actual levels of uncertainty. Do CNNs and ViTs escalate at different rates for the same threshold, and what does that reveal about their internal feature use?Which portion of standard test data requires high-resolution imaging and do specific object categories including fine-grained items generate most of the expenses?The adaptive strategy should also apply to video content through dynamic frame rate adjustment and audio content through bit-rate scaling to direct model processing toward essential details. The questions allow my project to advance from a demonstration into student‑level research which produces actual results for presentation.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proved effective to me because it both motivated me and provided clear understanding. The main strength of this approach lies in its ability to establish responsible efficient systems as equally valuable or even better than other solutions. The perspective matches the actual needs of my target audience who consist of students and teachers and club members who need to choose between different options because they have limited hardware resources. The paper contains field-policy information but lacks specific instructions for classroom implementation. The project addresses this particular knowledge deficit. Students can experience the compute–accuracy trade‑off through direct interaction with the simulator which provides a hands-on experience beyond reading about it. The article served as a catalyst which helped me establish better documentation practices by requiring cost reports and taught me to display efficiency metrics automatically in the user interface and provided me with a method to focus on efficiency-based learning objectives. </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gave me a particular method to teach and apply the material. I will develop the confidence‑gated multi‑resolution pipeline which includes clean logging hooks. The system interface shows users their current image savings and their total accumulated savings to demonstrate their instant rewards from using efficient decision-making. I will report results in a Green‑AI style with threshold tables, accuracy deltas, average FLOPs, latency, and a concise hardware note so others can reproduce my experiments. I will create a mini-lab for classroom use which requires students to choose a threshold based on resource-accuracy tradeoff evidence and determine when minimal accuracy deterioration becomes acceptable. I will assess student learning through exit ticket assessments which ask students to identify their observations about efficiency and uncertainty.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presented in “Green AI” proved useful while delivering unexpected insights which motivated me to continue. The results confirmed that my adaptive-resolution method was unique and I decided to create an educational system instead of developing a single prototype. The experience changed my model evaluation methods because I now evaluate models based on elements which extend past their accuracy rates. But “How wisely does it spend computation?”The transformation will direct my ISM path to create a simulator which demonstrates efficient AI operations through visible and actionable features for my teachers and peers.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https://kami.app/7DL-kXy-2tp-GbM</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7DL-kXy-2tp-GbM"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