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Calibri" w:cs="Calibri" w:eastAsia="Calibri" w:hAnsi="Calibri"/>
          <w:b w:val="0"/>
          <w:bCs w:val="0"/>
          <w:color w:val="000000"/>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Research Assessment #</w:t>
      </w:r>
      <w:r w:rsidDel="00000000" w:rsidR="00000000" w:rsidRPr="00000000">
        <w:rPr>
          <w:b w:val="1"/>
          <w:bCs w:val="1"/>
          <w:sz w:val="24"/>
          <w:szCs w:val="24"/>
          <w:u w:val="single"/>
          <w:rtl w:val="0"/>
        </w:rPr>
        <w:t xml:space="preserve">3</w:t>
      </w:r>
      <w:r w:rsidDel="00000000" w:rsidR="00000000" w:rsidRPr="00000000">
        <w:rPr>
          <w:rFonts w:ascii="Calibri" w:cs="Calibri" w:eastAsia="Calibri" w:hAnsi="Calibri"/>
          <w:b w:val="1"/>
          <w:bCs w:val="1"/>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480" w:lineRule="auto"/>
        <w:rPr>
          <w:b w:val="1"/>
          <w:bCs w:val="1"/>
        </w:rPr>
      </w:pPr>
      <w:r w:rsidDel="00000000" w:rsidR="00000000" w:rsidRPr="00000000">
        <w:rPr>
          <w:b w:val="1"/>
          <w:bCs w:val="1"/>
          <w:rtl w:val="0"/>
        </w:rPr>
        <w:t xml:space="preserve">Name: Rithvik Inampudi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48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1"/>
          <w:bCs w:val="1"/>
          <w:color w:val="000000"/>
          <w:sz w:val="22"/>
          <w:szCs w:val="22"/>
          <w:rtl w:val="0"/>
        </w:rPr>
        <w:t xml:space="preserve">Date: </w:t>
      </w: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48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1"/>
          <w:bCs w:val="1"/>
          <w:color w:val="000000"/>
          <w:sz w:val="22"/>
          <w:szCs w:val="22"/>
          <w:rtl w:val="0"/>
        </w:rPr>
        <w:t xml:space="preserve">Subject:  Deep Learning Effici</w:t>
      </w:r>
      <w:r w:rsidDel="00000000" w:rsidR="00000000" w:rsidRPr="00000000">
        <w:rPr>
          <w:b w:val="1"/>
          <w:bCs w:val="1"/>
          <w:rtl w:val="0"/>
        </w:rPr>
        <w:t xml:space="preserve">ency</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4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MLA citation: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color w:val="000000"/>
          <w:sz w:val="24"/>
          <w:szCs w:val="24"/>
        </w:rPr>
      </w:pPr>
      <w:r w:rsidDel="00000000" w:rsidR="00000000" w:rsidRPr="00000000">
        <w:rPr>
          <w:color w:val="000000"/>
          <w:sz w:val="24"/>
          <w:szCs w:val="24"/>
          <w:rtl w:val="0"/>
        </w:rPr>
        <w:t xml:space="preserve"> Khan, Salman, et al. “Transformers in Vision: A Survey.” ACM Computing Surveys, vol. 54, no. 10s, 2022, Article 200.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480" w:lineRule="auto"/>
        <w:rPr>
          <w:color w:val="000000"/>
          <w:sz w:val="22"/>
          <w:szCs w:val="22"/>
        </w:rPr>
      </w:pPr>
      <w:r w:rsidDel="00000000" w:rsidR="00000000" w:rsidRPr="00000000">
        <w:rPr>
          <w:color w:val="000000"/>
          <w:sz w:val="22"/>
          <w:szCs w:val="22"/>
          <w:rtl w:val="0"/>
        </w:rPr>
        <w:t xml:space="preserve">Assessment: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peer-reviewed survey was based on how the ecosystem of the Vision Transformer (ViT) was systematized. These three large levers are the manner in which images are converted into tokens and placed; the manner in which attention is organized throughout the image (global, windowed, or hybrid containing convolutional components); and how the different training regimes (pretraining, augmentation, regularization and schedules) stabilize training are organized, the authors group the field. They point out that long-range information flow can be facilitated by global self attention through the initial layer, and that it is frequently essential to use strong pre-training or selective regularisation on small datasets. They also record the hybrids that do not give up local inductive bias and they retain global reasoning. This re-formulated a hodgepodge of tricks into a sensible taxonomy which I can use directly.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I have come to know that design options that I used to think were minor like patch size or positional encoding are structural. They modify the details that can bypass the network and the stability training will have. I, also, got to know that the ViTs do not bake locality as CNNs do. It is that difference that makes them flexible as well as being sensitive to data size. Lastly, I got to know that most of the reported gains can be artifact when augmentation and schedules are not managed. This provokes me to reason as a scientist in confounds instead of pursuing single-minded measures of accuracy.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specifically applicable to my ISM expertise in the area of efficient adaptation of a pre-trained ViT-Tiny. The project that I compare Linear </w:t>
      </w:r>
      <w:r w:rsidDel="00000000" w:rsidR="00000000" w:rsidRPr="00000000">
        <w:rPr>
          <w:rFonts w:ascii="Times New Roman" w:cs="Times New Roman" w:eastAsia="Times New Roman" w:hAnsi="Times New Roman"/>
          <w:sz w:val="24"/>
          <w:szCs w:val="24"/>
          <w:rtl w:val="0"/>
        </w:rPr>
        <w:t xml:space="preserve">Probing</w:t>
      </w:r>
      <w:r w:rsidDel="00000000" w:rsidR="00000000" w:rsidRPr="00000000">
        <w:rPr>
          <w:rFonts w:ascii="Times New Roman" w:cs="Times New Roman" w:eastAsia="Times New Roman" w:hAnsi="Times New Roman"/>
          <w:sz w:val="24"/>
          <w:szCs w:val="24"/>
          <w:rtl w:val="0"/>
        </w:rPr>
        <w:t xml:space="preserve">, that freezes the backbone and estimates only a new linear head with LoRA, which introduces low-rank adapters in attention and MLP projections to only update a small portion of the parameters. The survey provides me with a blueprint of fairness. Assuming that I hold tokenization, positional encoding, attention layout, optimizer, schedule, and augmentations consistent within runs, then any variation that I observe is likely to be due to the adaptation procedure as opposed to latent representational variations. It also expands on what I report. Since I want to achieve efficiency, I will quantify measures of wall-clock time, parameters updated, Joules per epoch based on power logs, cumulative energy to achieve a desired accuracy, as well as inference latency and accuracy. That conveys literal limitations such as cost, throughput, and sustainability to my mentor and to judges.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subdivided the contents of the article into four parts in order to analyze and categorize it. Representation deals with the way images are represented as patches and the way position is represented. Computation includes attention being global, windowed or a hybrid convolution. Regularization, schedules, pretraining corpus and augmentation are all included in the learning regime. The space that is evaluated is the space of classification, detection, and segmentation. Placing my two approaches in this frame explains their coverage. Linear Probing does not touch representation or computation and only makes alterations to the classifier. LoRA does not change internal projections much and is capable of conditioning the model without performing retraining the entire backbone. This implies a shift to my baseline assumptions compared to the CNN-centric perspective I had before. I had a belief smaller models must be cheaper and that locality was the normal course of efficiency. The survey reveals that given global information routing and heavy pretraining a small ViT with an aptly placed adapter can be more accurate per Joule than a slightly bigger CNN provided controls are controlled.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balance this new knowledge with the current work, I managed to draft a tangible plan. The complete freeze of the ViT-Tiny backbone in Linear Probing track will consist of early stopping with a linear head as the train. I will use adapters in attention and MLP projections and sweep the rank r in = 4, 8, 16 in the LoRA track. The two tracks will be MIMO with identical patch size, same position encoding, augmentations, optimizer, and schedule. Each run I will post a budget card, which contains epochs, number of images per second, Joules per epoch, number of Joules to achieve some target accuracy, modified parameters, inference latency. I shall then graph the accuracy versus energy in order to see the trade-off. New questions are also raised by this plan. Does the addition of either local or windowed attention change the accuracy per joule curve with the addition of LoRA to small images? The point at which the LoRA rank starts to curve down the list in my data and schedule. Linear Probing Linear Probing is very sensitive to positional encodings when data are scarce and augmentations fixed. LoRA Linear Probing is very sensitive to positional encodings when data are scarce and augmentations are fixed. These questions are testable and are in line with the taxonomy.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how the article is relevant to my objectives, I believe it is effective and inspirational. It provided me with a long-lasting framework to build reasonable experiments and present the results in an open manner. The greatest assist was the realization that pretraining scale and representational choices tend to control the most in establish stability. The latter will save time as they will inform me as to the variables that will remain constant and those that will change. The fact that parameter-efficient adaptation is put within a principled framework instead of being viewed as a set of tricks, as explained in the reading, is also promising. Simultaneously, it was a good warning sign against exaggerating the profits. With no corresponding schedules and augmentations, a perceived victory may only be a fraud. The overall result is that I now am as concerned with energy, latency and number of updated parameters as I am with accuracy. The fact that orientation increases my credibility, reproducibility and relevance to deployment constraints makes my conclusion more credible, reproducible and relevant to deployment constraints.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center"/>
        <w:rPr>
          <w:b w:val="1"/>
          <w:bCs w:val="1"/>
          <w:sz w:val="28"/>
          <w:szCs w:val="28"/>
        </w:rPr>
      </w:pPr>
      <w:r w:rsidDel="00000000" w:rsidR="00000000" w:rsidRPr="00000000">
        <w:rPr>
          <w:b w:val="1"/>
          <w:bCs w:val="1"/>
          <w:sz w:val="28"/>
          <w:szCs w:val="28"/>
          <w:rtl w:val="0"/>
        </w:rPr>
        <w:t xml:space="preserve">Copies of annotated article(s) MUST be submitted with all research assessments!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center"/>
        <w:rPr>
          <w:b w:val="1"/>
          <w:bCs w:val="1"/>
          <w:sz w:val="28"/>
          <w:szCs w:val="28"/>
        </w:rPr>
      </w:pPr>
      <w:r w:rsidDel="00000000" w:rsidR="00000000" w:rsidRPr="00000000">
        <w:rPr>
          <w:b w:val="1"/>
          <w:bCs w:val="1"/>
          <w:sz w:val="28"/>
          <w:szCs w:val="28"/>
          <w:rtl w:val="0"/>
        </w:rPr>
        <w:t xml:space="preserve">Link to annotated article:</w:t>
      </w:r>
      <w:hyperlink r:id="rId6">
        <w:r w:rsidDel="00000000" w:rsidR="00000000" w:rsidRPr="00000000">
          <w:rPr>
            <w:b w:val="1"/>
            <w:bCs w:val="1"/>
            <w:color w:val="1155cc"/>
            <w:sz w:val="28"/>
            <w:szCs w:val="28"/>
            <w:u w:val="single"/>
            <w:rtl w:val="0"/>
          </w:rPr>
          <w:t xml:space="preserve">https://drive.google.com/file/d/1ESU35GrTCoXlYVcjbGtDNc_FZkRNcsYs/view?usp=sharing</w:t>
        </w:r>
      </w:hyperlink>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center"/>
        <w:rPr>
          <w:b w:val="1"/>
          <w:bCs w:val="1"/>
          <w:sz w:val="28"/>
          <w:szCs w:val="28"/>
        </w:rPr>
      </w:pPr>
      <w:r w:rsidDel="00000000" w:rsidR="00000000" w:rsidRPr="00000000">
        <w:rPr>
          <w:rtl w:val="0"/>
        </w:rPr>
      </w:r>
    </w:p>
    <w:sectPr>
      <w:pgSz w:h="15840" w:w="12240" w:orient="portrait"/>
      <w:pgMar w:bottom="36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SU35GrTCoXlYVcjbGtDNc_FZkRNcsY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