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sz w:val="22"/>
        </w:rPr>
        <w:t>ASTANA IT UNIVERSITY · School of Digital Public Administration</w:t>
      </w:r>
    </w:p>
    <w:p>
      <w:pPr>
        <w:spacing w:before="40" w:after="40" w:line="276" w:lineRule="auto"/>
        <w:jc w:val="center"/>
      </w:pPr>
      <w:r>
        <w:rPr>
          <w:rFonts w:ascii="Times New Roman" w:hAnsi="Times New Roman"/>
          <w:b/>
          <w:color w:val="1A2536"/>
          <w:sz w:val="26"/>
        </w:rPr>
        <w:t>WEEKLY INTEGRATED LEARNING RECORD 8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i/>
          <w:sz w:val="22"/>
        </w:rPr>
        <w:t>Week 8: Financial Tools, Ratios &amp; AI Discrepancy Audit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Student: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Manat Amir (ID: 261434, Group: DPA-2602)</w:t>
            </w:r>
          </w:p>
        </w:tc>
      </w:tr>
      <w:tr>
        <w:trPr>
          <w:cantSplit/>
        </w:trP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Course: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Business Administration (BA 1204 / BA2026) · Trimester 1 (2026–2027)</w:t>
            </w:r>
          </w:p>
        </w:tc>
      </w:tr>
      <w:tr>
        <w:trPr>
          <w:cantSplit/>
        </w:trP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Course Instructors: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Gaukhar Yeshenkulova (Lectures) · Symbat Ashimkhanova (Practices)</w:t>
            </w:r>
          </w:p>
        </w:tc>
      </w:tr>
      <w:tr>
        <w:trPr>
          <w:cantSplit/>
        </w:trP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Company B (Focal):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AB Auto (Astana, 4 IPs, Simplified Tax 3%, Koktal 15B)</w:t>
            </w:r>
          </w:p>
        </w:tc>
      </w:tr>
      <w:tr>
        <w:trPr>
          <w:cantSplit/>
        </w:trP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Company A (Comparator):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Interkom-Auto (TOO, General Tax Regime 12% VAT, &gt;1.3B KZT Taxpayer)</w:t>
            </w:r>
          </w:p>
        </w:tc>
      </w:tr>
    </w:tbl>
    <w:p>
      <w:pPr>
        <w:spacing w:before="40" w:after="120"/>
        <w:pBdr>
          <w:bottom w:val="single" w:sz="8" w:space="4" w:color="1A2536"/>
        </w:pBdr>
      </w:pPr>
    </w:p>
    <w:p>
      <w:pPr>
        <w:keepNext/>
        <w:spacing w:before="180" w:after="60" w:line="276" w:lineRule="auto"/>
        <w:pBdr>
          <w:bottom w:val="single" w:sz="4" w:space="4" w:color="CBD5E1"/>
        </w:pBdr>
      </w:pPr>
      <w:r>
        <w:rPr>
          <w:rFonts w:ascii="Times New Roman" w:hAnsi="Times New Roman"/>
          <w:b/>
          <w:color w:val="1A2536"/>
          <w:sz w:val="22"/>
        </w:rPr>
        <w:t>FIELD 1 · CONCEPT</w:t>
      </w:r>
    </w:p>
    <w:p>
      <w:pPr>
        <w:spacing w:before="0" w:after="9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Enterprise financial governance rests on the fundamental </w:t>
      </w:r>
      <w:r>
        <w:rPr>
          <w:rFonts w:ascii="Times New Roman" w:hAnsi="Times New Roman"/>
          <w:b/>
          <w:i w:val="0"/>
          <w:color w:val="000000"/>
          <w:sz w:val="22"/>
        </w:rPr>
        <w:t>Balance Sheet Equation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</w:t>
      </w:r>
      <w:r>
        <w:rPr>
          <w:rFonts w:ascii="Times New Roman" w:hAnsi="Times New Roman"/>
          <w:b w:val="0"/>
          <w:i w:val="0"/>
          <w:color w:val="000000"/>
          <w:sz w:val="22"/>
        </w:rPr>
        <w:t>Assets = Liabilities + Equity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), which partitions economic resources and claims by maturity [1], [2]. Current assets (cash, receivables, merchandise inventory) and current liabilities (30–45 day trade payables) capture short-term working capital cycles within twelve months, whereas long-term assets (warehouse racking, equipment) and long-term obligations reflect structural solvency. Crucially, managers must separate </w:t>
      </w:r>
      <w:r>
        <w:rPr>
          <w:rFonts w:ascii="Times New Roman" w:hAnsi="Times New Roman"/>
          <w:b/>
          <w:i w:val="0"/>
          <w:color w:val="000000"/>
          <w:sz w:val="22"/>
        </w:rPr>
        <w:t>accounting profit from real cash flow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[2]: accrual profit records revenue upon invoice issuance, whereas cash flow tracks actual monetary inflows settling supplier bills. Diagnostic </w:t>
      </w:r>
      <w:r>
        <w:rPr>
          <w:rFonts w:ascii="Times New Roman" w:hAnsi="Times New Roman"/>
          <w:b/>
          <w:i w:val="0"/>
          <w:color w:val="000000"/>
          <w:sz w:val="22"/>
        </w:rPr>
        <w:t>financial ratios</w:t>
      </w:r>
      <w:r>
        <w:rPr>
          <w:rFonts w:ascii="Times New Roman" w:hAnsi="Times New Roman"/>
          <w:b w:val="0"/>
          <w:i w:val="0"/>
          <w:color w:val="000000"/>
          <w:sz w:val="22"/>
        </w:rPr>
        <w:t>—liquidity (</w:t>
      </w:r>
      <w:r>
        <w:rPr>
          <w:rFonts w:ascii="Times New Roman" w:hAnsi="Times New Roman"/>
          <w:b w:val="0"/>
          <w:i w:val="0"/>
          <w:color w:val="000000"/>
          <w:sz w:val="22"/>
        </w:rPr>
        <w:t>Current Ratio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2"/>
        </w:rPr>
        <w:t>Acid-Test</w:t>
      </w:r>
      <w:r>
        <w:rPr>
          <w:rFonts w:ascii="Times New Roman" w:hAnsi="Times New Roman"/>
          <w:b w:val="0"/>
          <w:i w:val="0"/>
          <w:color w:val="000000"/>
          <w:sz w:val="22"/>
        </w:rPr>
        <w:t>), profitability (</w:t>
      </w:r>
      <w:r>
        <w:rPr>
          <w:rFonts w:ascii="Times New Roman" w:hAnsi="Times New Roman"/>
          <w:b w:val="0"/>
          <w:i w:val="0"/>
          <w:color w:val="000000"/>
          <w:sz w:val="22"/>
        </w:rPr>
        <w:t>Net Profit Margin</w:t>
      </w:r>
      <w:r>
        <w:rPr>
          <w:rFonts w:ascii="Times New Roman" w:hAnsi="Times New Roman"/>
          <w:b w:val="0"/>
          <w:i w:val="0"/>
          <w:color w:val="000000"/>
          <w:sz w:val="22"/>
        </w:rPr>
        <w:t>), and leverage (</w:t>
      </w:r>
      <w:r>
        <w:rPr>
          <w:rFonts w:ascii="Times New Roman" w:hAnsi="Times New Roman"/>
          <w:b w:val="0"/>
          <w:i w:val="0"/>
          <w:color w:val="000000"/>
          <w:sz w:val="22"/>
        </w:rPr>
        <w:t>Debt-to-Equity</w:t>
      </w:r>
      <w:r>
        <w:rPr>
          <w:rFonts w:ascii="Times New Roman" w:hAnsi="Times New Roman"/>
          <w:b w:val="0"/>
          <w:i w:val="0"/>
          <w:color w:val="000000"/>
          <w:sz w:val="22"/>
        </w:rPr>
        <w:t>)—translate raw ledgers into standardized health signals [1], [2].</w:t>
      </w:r>
    </w:p>
    <w:p>
      <w:pPr>
        <w:spacing w:before="0" w:after="9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Concept Check: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Financial ratios provide directional benchmarks rather than self-executing verdicts because healthy thresholds depend heavily on tax regimes, inventory buffers, and payment velocity. Automated AI systems suffer from severe </w:t>
      </w:r>
      <w:r>
        <w:rPr>
          <w:rFonts w:ascii="Times New Roman" w:hAnsi="Times New Roman"/>
          <w:b/>
          <w:i w:val="0"/>
          <w:color w:val="000000"/>
          <w:sz w:val="22"/>
        </w:rPr>
        <w:t>contextual blindness</w:t>
      </w:r>
      <w:r>
        <w:rPr>
          <w:rFonts w:ascii="Times New Roman" w:hAnsi="Times New Roman"/>
          <w:b w:val="0"/>
          <w:i w:val="0"/>
          <w:color w:val="000000"/>
          <w:sz w:val="22"/>
        </w:rPr>
        <w:t>: models evaluate static formulas without observing local cash turnover, cross-border supply friction, or off-ledger B2B trust, making a human auditor indispensable for judging enterprise resilience.</w:t>
      </w:r>
    </w:p>
    <w:p>
      <w:pPr>
        <w:keepNext/>
        <w:spacing w:before="180" w:after="60" w:line="276" w:lineRule="auto"/>
        <w:pBdr>
          <w:bottom w:val="single" w:sz="4" w:space="4" w:color="CBD5E1"/>
        </w:pBdr>
      </w:pPr>
      <w:r>
        <w:rPr>
          <w:rFonts w:ascii="Times New Roman" w:hAnsi="Times New Roman"/>
          <w:b/>
          <w:color w:val="1A2536"/>
          <w:sz w:val="22"/>
        </w:rPr>
        <w:t>FIELD 2 · APPLICATION (AB AUTO FY 2026 RATIO CALCULATION &amp; DISCREPANCY AUDIT)</w:t>
      </w:r>
    </w:p>
    <w:p>
      <w:pPr>
        <w:spacing w:before="0" w:after="9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Using verified 2026 management accounts across AB Auto's four Individual Proprietorships (Sales </w:t>
      </w:r>
      <w:r>
        <w:rPr>
          <w:rFonts w:ascii="Times New Roman" w:hAnsi="Times New Roman"/>
          <w:b w:val="0"/>
          <w:i w:val="0"/>
          <w:color w:val="000000"/>
          <w:sz w:val="22"/>
        </w:rPr>
        <w:t>384.0M KZT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Net Profit </w:t>
      </w:r>
      <w:r>
        <w:rPr>
          <w:rFonts w:ascii="Times New Roman" w:hAnsi="Times New Roman"/>
          <w:b w:val="0"/>
          <w:i w:val="0"/>
          <w:color w:val="000000"/>
          <w:sz w:val="22"/>
        </w:rPr>
        <w:t>26.88M KZT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Current Assets </w:t>
      </w:r>
      <w:r>
        <w:rPr>
          <w:rFonts w:ascii="Times New Roman" w:hAnsi="Times New Roman"/>
          <w:b w:val="0"/>
          <w:i w:val="0"/>
          <w:color w:val="000000"/>
          <w:sz w:val="22"/>
        </w:rPr>
        <w:t>42.0M KZT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Inventory </w:t>
      </w:r>
      <w:r>
        <w:rPr>
          <w:rFonts w:ascii="Times New Roman" w:hAnsi="Times New Roman"/>
          <w:b w:val="0"/>
          <w:i w:val="0"/>
          <w:color w:val="000000"/>
          <w:sz w:val="22"/>
        </w:rPr>
        <w:t>34.0M KZT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Quick Assets </w:t>
      </w:r>
      <w:r>
        <w:rPr>
          <w:rFonts w:ascii="Times New Roman" w:hAnsi="Times New Roman"/>
          <w:b w:val="0"/>
          <w:i w:val="0"/>
          <w:color w:val="000000"/>
          <w:sz w:val="22"/>
        </w:rPr>
        <w:t>8.0M KZT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Current Liabilities </w:t>
      </w:r>
      <w:r>
        <w:rPr>
          <w:rFonts w:ascii="Times New Roman" w:hAnsi="Times New Roman"/>
          <w:b w:val="0"/>
          <w:i w:val="0"/>
          <w:color w:val="000000"/>
          <w:sz w:val="22"/>
        </w:rPr>
        <w:t>18.0M KZT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Total Liabilities </w:t>
      </w:r>
      <w:r>
        <w:rPr>
          <w:rFonts w:ascii="Times New Roman" w:hAnsi="Times New Roman"/>
          <w:b w:val="0"/>
          <w:i w:val="0"/>
          <w:color w:val="000000"/>
          <w:sz w:val="22"/>
        </w:rPr>
        <w:t>22.0M KZT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Equity </w:t>
      </w:r>
      <w:r>
        <w:rPr>
          <w:rFonts w:ascii="Times New Roman" w:hAnsi="Times New Roman"/>
          <w:b w:val="0"/>
          <w:i w:val="0"/>
          <w:color w:val="000000"/>
          <w:sz w:val="22"/>
        </w:rPr>
        <w:t>28.0M KZT</w:t>
      </w:r>
      <w:r>
        <w:rPr>
          <w:rFonts w:ascii="Times New Roman" w:hAnsi="Times New Roman"/>
          <w:b w:val="0"/>
          <w:i w:val="0"/>
          <w:color w:val="000000"/>
          <w:sz w:val="22"/>
        </w:rPr>
        <w:t>), four core financial ratios were independently computed:</w:t>
      </w:r>
    </w:p>
    <w:p>
      <w:pPr>
        <w:spacing w:before="0" w:after="50" w:line="276" w:lineRule="auto"/>
        <w:ind w:left="340" w:hanging="198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1"/>
        </w:rPr>
        <w:t>Current Ratio: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1"/>
        </w:rPr>
        <w:t>Current Assets / Current Liabilities = 42.0M / 18.0M = 2.33x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1"/>
        </w:rPr>
        <w:t>(Benchmark: 1.50x – 2.00x)</w:t>
      </w:r>
    </w:p>
    <w:p>
      <w:pPr>
        <w:spacing w:before="0" w:after="50" w:line="276" w:lineRule="auto"/>
        <w:ind w:left="340" w:hanging="198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1"/>
        </w:rPr>
        <w:t>Acid-Test (Quick) Ratio: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1"/>
        </w:rPr>
        <w:t>(Current Assets - Inventory) / Current Liabilities = (42.0M - 34.0M) / 18.0M = 0.44x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1"/>
        </w:rPr>
        <w:t>(Benchmark: &gt;= 1.00x)</w:t>
      </w:r>
    </w:p>
    <w:p>
      <w:pPr>
        <w:spacing w:before="0" w:after="50" w:line="276" w:lineRule="auto"/>
        <w:ind w:left="340" w:hanging="198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1"/>
        </w:rPr>
        <w:t>Net Profit Margin: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1"/>
        </w:rPr>
        <w:t>(Net Profit / Net Sales) × 100 = (26.88M / 384.0M) × 100 = 7.00%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1"/>
        </w:rPr>
        <w:t>(Benchmark: 5.5% – 8.0%)</w:t>
      </w:r>
    </w:p>
    <w:p>
      <w:pPr>
        <w:spacing w:before="0" w:after="50" w:line="276" w:lineRule="auto"/>
        <w:ind w:left="340" w:hanging="198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1"/>
        </w:rPr>
        <w:t>Debt-to-Equity Ratio: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1"/>
        </w:rPr>
        <w:t>Total Liabilities / Owner's Equity = 22.0M / 28.0M = 0.79x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1"/>
        </w:rPr>
        <w:t>(Benchmark: &lt; 1.00x)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587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Financial Ratio</w:t>
            </w:r>
          </w:p>
        </w:tc>
        <w:tc>
          <w:tcPr>
            <w:tcW w:type="dxa" w:w="1020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Verified Value</w:t>
            </w:r>
          </w:p>
        </w:tc>
        <w:tc>
          <w:tcPr>
            <w:tcW w:type="dxa" w:w="2154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Raw AI Diagnosis (GPT-4o)</w:t>
            </w:r>
          </w:p>
        </w:tc>
        <w:tc>
          <w:tcPr>
            <w:tcW w:type="dxa" w:w="3628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Discrepancy Root Cause &amp; Human Audit</w:t>
            </w:r>
          </w:p>
        </w:tc>
        <w:tc>
          <w:tcPr>
            <w:tcW w:type="dxa" w:w="1247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Verdict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Current Ratio</w:t>
            </w:r>
          </w:p>
        </w:tc>
        <w:tc>
          <w:tcPr>
            <w:tcW w:type="dxa" w:w="1020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2.33x</w:t>
            </w:r>
          </w:p>
        </w:tc>
        <w:tc>
          <w:tcPr>
            <w:tcW w:type="dxa" w:w="2154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Excess idle liquidity sitting unproductively above 2.0x.</w:t>
            </w:r>
          </w:p>
        </w:tc>
        <w:tc>
          <w:tcPr>
            <w:tcW w:type="dxa" w:w="362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Asset-mix misinterpretation: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81%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34.0M KZT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) is physical GAZelle leaf-spring buffer stock at Koktal 15B hedging EAEU transit delays.</w:t>
            </w:r>
          </w:p>
        </w:tc>
        <w:tc>
          <w:tcPr>
            <w:tcW w:type="dxa" w:w="1247"/>
            <w:vAlign w:val="top"/>
            <w:shd w:fill="FFFBEB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92400E"/>
                <w:sz w:val="19"/>
              </w:rPr>
              <w:t>CORRECT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Acid-Test (Quick)</w:t>
            </w:r>
          </w:p>
        </w:tc>
        <w:tc>
          <w:tcPr>
            <w:tcW w:type="dxa" w:w="1020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0.44x</w:t>
            </w:r>
          </w:p>
        </w:tc>
        <w:tc>
          <w:tcPr>
            <w:tcW w:type="dxa" w:w="2154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Imminent default and severe bankruptcy risk (&lt;1.0x).</w:t>
            </w:r>
          </w:p>
        </w:tc>
        <w:tc>
          <w:tcPr>
            <w:tcW w:type="dxa" w:w="362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Contextual blindness: daily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Kaspi QR cash turnover (&gt;3.0M KZT/day)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covers 30–45 day supplier deferrals with zero cash gaps.</w:t>
            </w:r>
          </w:p>
        </w:tc>
        <w:tc>
          <w:tcPr>
            <w:tcW w:type="dxa" w:w="1247"/>
            <w:vAlign w:val="top"/>
            <w:shd w:fill="FEF2F2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991B1B"/>
                <w:sz w:val="19"/>
              </w:rPr>
              <w:t>REJECT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Net Profit Margin</w:t>
            </w:r>
          </w:p>
        </w:tc>
        <w:tc>
          <w:tcPr>
            <w:tcW w:type="dxa" w:w="1020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7.00%</w:t>
            </w:r>
          </w:p>
        </w:tc>
        <w:tc>
          <w:tcPr>
            <w:tcW w:type="dxa" w:w="2154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Thin margin vulnerable to 20% CIT and 12% VAT erosion.</w:t>
            </w:r>
          </w:p>
        </w:tc>
        <w:tc>
          <w:tcPr>
            <w:tcW w:type="dxa" w:w="362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Wrong tax baseline: AB Auto operates under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3% Simplified Tax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(Art. 683 RK Tax Code) [3] and holds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&gt;=18%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gross margin floor.</w:t>
            </w:r>
          </w:p>
        </w:tc>
        <w:tc>
          <w:tcPr>
            <w:tcW w:type="dxa" w:w="1247"/>
            <w:vAlign w:val="top"/>
            <w:shd w:fill="FFFBEB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92400E"/>
                <w:sz w:val="19"/>
              </w:rPr>
              <w:t>CORRECT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Debt-to-Equity</w:t>
            </w:r>
          </w:p>
        </w:tc>
        <w:tc>
          <w:tcPr>
            <w:tcW w:type="dxa" w:w="1020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0.79x</w:t>
            </w:r>
          </w:p>
        </w:tc>
        <w:tc>
          <w:tcPr>
            <w:tcW w:type="dxa" w:w="2154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Moderate leverage backed by owner capital.</w:t>
            </w:r>
          </w:p>
        </w:tc>
        <w:tc>
          <w:tcPr>
            <w:tcW w:type="dxa" w:w="362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Accepted; human audit adds segregation of personal family auto loans outside the 4 operational IPs.</w:t>
            </w:r>
          </w:p>
        </w:tc>
        <w:tc>
          <w:tcPr>
            <w:tcW w:type="dxa" w:w="1247"/>
            <w:vAlign w:val="top"/>
            <w:shd w:fill="ECFDF5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065F46"/>
                <w:sz w:val="19"/>
              </w:rPr>
              <w:t>ACCEPT</w:t>
            </w:r>
          </w:p>
        </w:tc>
      </w:tr>
    </w:tbl>
    <w:p>
      <w:pPr>
        <w:keepNext/>
        <w:spacing w:before="180" w:after="60" w:line="276" w:lineRule="auto"/>
        <w:pBdr>
          <w:bottom w:val="single" w:sz="4" w:space="4" w:color="CBD5E1"/>
        </w:pBdr>
      </w:pPr>
      <w:r>
        <w:rPr>
          <w:rFonts w:ascii="Times New Roman" w:hAnsi="Times New Roman"/>
          <w:b/>
          <w:color w:val="1A2536"/>
          <w:sz w:val="22"/>
        </w:rPr>
        <w:t>FIELD 3 · VERIFICATION AND AI</w:t>
      </w:r>
    </w:p>
    <w:p>
      <w:pPr>
        <w:spacing w:before="0" w:after="50" w:line="276" w:lineRule="auto"/>
        <w:ind w:left="340" w:hanging="198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1"/>
        </w:rPr>
        <w:t>AI Systems Disclosed (Level 2):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ChatGPT (</w:t>
      </w:r>
      <w:r>
        <w:rPr>
          <w:rFonts w:ascii="Times New Roman" w:hAnsi="Times New Roman"/>
          <w:b w:val="0"/>
          <w:i w:val="0"/>
          <w:color w:val="000000"/>
          <w:sz w:val="21"/>
        </w:rPr>
        <w:t>GPT-4o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) and </w:t>
      </w:r>
      <w:r>
        <w:rPr>
          <w:rFonts w:ascii="Times New Roman" w:hAnsi="Times New Roman"/>
          <w:b w:val="0"/>
          <w:i w:val="0"/>
          <w:color w:val="000000"/>
          <w:sz w:val="21"/>
        </w:rPr>
        <w:t>Antigravity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(zero OpenStax or course core textbooks uploaded).</w:t>
      </w:r>
    </w:p>
    <w:p>
      <w:pPr>
        <w:spacing w:before="0" w:after="50" w:line="276" w:lineRule="auto"/>
        <w:ind w:left="340" w:hanging="198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1"/>
        </w:rPr>
        <w:t>AI Task Executed: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Generated mechanical textbook interpretations of AB Auto's four calculated financial ratios.</w:t>
      </w:r>
    </w:p>
    <w:p>
      <w:pPr>
        <w:spacing w:before="0" w:after="50" w:line="276" w:lineRule="auto"/>
        <w:ind w:left="340" w:hanging="198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1"/>
        </w:rPr>
        <w:t>Independent Verification: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Recalculated every formula deterministically in Microsoft Excel, audited primary </w:t>
      </w:r>
      <w:r>
        <w:rPr>
          <w:rFonts w:ascii="Times New Roman" w:hAnsi="Times New Roman"/>
          <w:b w:val="0"/>
          <w:i w:val="0"/>
          <w:color w:val="000000"/>
          <w:sz w:val="21"/>
        </w:rPr>
        <w:t>ABPos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daily Kaspi QR cash registers, and cross-checked physical partnering STO debt ledgers at Koktal 15B.</w:t>
      </w:r>
    </w:p>
    <w:p>
      <w:pPr>
        <w:spacing w:before="0" w:after="50" w:line="276" w:lineRule="auto"/>
        <w:ind w:left="340" w:hanging="198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1"/>
        </w:rPr>
        <w:t>Material Corrections: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Completely rejected GPT-4o's false insolvency warning at </w:t>
      </w:r>
      <w:r>
        <w:rPr>
          <w:rFonts w:ascii="Times New Roman" w:hAnsi="Times New Roman"/>
          <w:b w:val="0"/>
          <w:i w:val="0"/>
          <w:color w:val="000000"/>
          <w:sz w:val="21"/>
        </w:rPr>
        <w:t>0.44x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and vetoed its recommendation to slash Kaspi Shop retail prices, which would breach the owner's </w:t>
      </w:r>
      <w:r>
        <w:rPr>
          <w:rFonts w:ascii="Times New Roman" w:hAnsi="Times New Roman"/>
          <w:b w:val="0"/>
          <w:i w:val="0"/>
          <w:color w:val="000000"/>
          <w:sz w:val="21"/>
        </w:rPr>
        <w:t>&gt;=18%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gross margin floor and distort 4-IP statutory turnover caps [3].</w:t>
      </w:r>
    </w:p>
    <w:p>
      <w:pPr>
        <w:keepNext/>
        <w:spacing w:before="180" w:after="60" w:line="276" w:lineRule="auto"/>
        <w:pBdr>
          <w:bottom w:val="single" w:sz="4" w:space="4" w:color="CBD5E1"/>
        </w:pBdr>
      </w:pPr>
      <w:r>
        <w:rPr>
          <w:rFonts w:ascii="Times New Roman" w:hAnsi="Times New Roman"/>
          <w:b/>
          <w:color w:val="1A2536"/>
          <w:sz w:val="22"/>
        </w:rPr>
        <w:t>FIELD 4 · TRANSFER (RECOMMENDATIONS FOR AB AUTO VS. INTERKOM-AUTO)</w:t>
      </w:r>
    </w:p>
    <w:p>
      <w:pPr>
        <w:spacing w:before="0" w:after="9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Evaluating enterprise financial practices from comparator Interkom-Auto (</w:t>
      </w:r>
      <w:r>
        <w:rPr>
          <w:rFonts w:ascii="Times New Roman" w:hAnsi="Times New Roman"/>
          <w:b w:val="0"/>
          <w:i w:val="0"/>
          <w:color w:val="000000"/>
          <w:sz w:val="22"/>
        </w:rPr>
        <w:t>Adopt / Adapt / Pilot / Delay / Reject</w:t>
      </w:r>
      <w:r>
        <w:rPr>
          <w:rFonts w:ascii="Times New Roman" w:hAnsi="Times New Roman"/>
          <w:b w:val="0"/>
          <w:i w:val="0"/>
          <w:color w:val="000000"/>
          <w:sz w:val="22"/>
        </w:rPr>
        <w:t>):</w:t>
      </w:r>
    </w:p>
    <w:p>
      <w:pPr>
        <w:spacing w:before="0" w:after="50" w:line="276" w:lineRule="auto"/>
        <w:ind w:left="369" w:hanging="255"/>
      </w:pPr>
      <w:r>
        <w:rPr>
          <w:rFonts w:ascii="Times New Roman" w:hAnsi="Times New Roman"/>
          <w:b/>
          <w:i w:val="0"/>
          <w:color w:val="000000"/>
          <w:sz w:val="21"/>
        </w:rPr>
        <w:t>1.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 </w:t>
      </w:r>
      <w:r>
        <w:rPr>
          <w:rFonts w:ascii="Times New Roman" w:hAnsi="Times New Roman"/>
          <w:b/>
          <w:i w:val="0"/>
          <w:color w:val="000000"/>
          <w:sz w:val="21"/>
        </w:rPr>
        <w:t>ADOPT: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Automated daily tracking of </w:t>
      </w:r>
      <w:r>
        <w:rPr>
          <w:rFonts w:ascii="Times New Roman" w:hAnsi="Times New Roman"/>
          <w:b w:val="0"/>
          <w:i w:val="0"/>
          <w:color w:val="000000"/>
          <w:sz w:val="21"/>
        </w:rPr>
        <w:t>Quick Assets / Current Liabilities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inside the </w:t>
      </w:r>
      <w:r>
        <w:rPr>
          <w:rFonts w:ascii="Times New Roman" w:hAnsi="Times New Roman"/>
          <w:b w:val="0"/>
          <w:i w:val="0"/>
          <w:color w:val="000000"/>
          <w:sz w:val="21"/>
        </w:rPr>
        <w:t>ABPos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management dashboard to monitor real-time liquidity against upcoming EAEU supplier maturities.</w:t>
      </w:r>
    </w:p>
    <w:p>
      <w:pPr>
        <w:spacing w:before="0" w:after="50" w:line="276" w:lineRule="auto"/>
        <w:ind w:left="369" w:hanging="255"/>
      </w:pPr>
      <w:r>
        <w:rPr>
          <w:rFonts w:ascii="Times New Roman" w:hAnsi="Times New Roman"/>
          <w:b/>
          <w:i w:val="0"/>
          <w:color w:val="000000"/>
          <w:sz w:val="21"/>
        </w:rPr>
        <w:t>2.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 </w:t>
      </w:r>
      <w:r>
        <w:rPr>
          <w:rFonts w:ascii="Times New Roman" w:hAnsi="Times New Roman"/>
          <w:b/>
          <w:i w:val="0"/>
          <w:color w:val="000000"/>
          <w:sz w:val="21"/>
        </w:rPr>
        <w:t>ADAPT: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Indirect-method </w:t>
      </w:r>
      <w:r>
        <w:rPr>
          <w:rFonts w:ascii="Times New Roman" w:hAnsi="Times New Roman"/>
          <w:b/>
          <w:i w:val="0"/>
          <w:color w:val="000000"/>
          <w:sz w:val="21"/>
        </w:rPr>
        <w:t>Cash Flow Statement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accounting adapted for a 4-IP SME to reconcile accrual sales profit with actual liquid cash balances.</w:t>
      </w:r>
    </w:p>
    <w:p>
      <w:pPr>
        <w:spacing w:before="0" w:after="50" w:line="276" w:lineRule="auto"/>
        <w:ind w:left="369" w:hanging="255"/>
      </w:pPr>
      <w:r>
        <w:rPr>
          <w:rFonts w:ascii="Times New Roman" w:hAnsi="Times New Roman"/>
          <w:b/>
          <w:i w:val="0"/>
          <w:color w:val="000000"/>
          <w:sz w:val="21"/>
        </w:rPr>
        <w:t>3.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 </w:t>
      </w:r>
      <w:r>
        <w:rPr>
          <w:rFonts w:ascii="Times New Roman" w:hAnsi="Times New Roman"/>
          <w:b/>
          <w:i w:val="0"/>
          <w:color w:val="000000"/>
          <w:sz w:val="21"/>
        </w:rPr>
        <w:t>PILOT: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Digital accounts-receivable tracking registry in </w:t>
      </w:r>
      <w:r>
        <w:rPr>
          <w:rFonts w:ascii="Times New Roman" w:hAnsi="Times New Roman"/>
          <w:b w:val="0"/>
          <w:i w:val="0"/>
          <w:color w:val="000000"/>
          <w:sz w:val="21"/>
        </w:rPr>
        <w:t>ABPos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for trusted partnering auto repair stations (STOs) before phasing out paper notebooks.</w:t>
      </w:r>
    </w:p>
    <w:p>
      <w:pPr>
        <w:spacing w:before="0" w:after="50" w:line="276" w:lineRule="auto"/>
        <w:ind w:left="369" w:hanging="255"/>
      </w:pPr>
      <w:r>
        <w:rPr>
          <w:rFonts w:ascii="Times New Roman" w:hAnsi="Times New Roman"/>
          <w:b/>
          <w:i w:val="0"/>
          <w:color w:val="000000"/>
          <w:sz w:val="21"/>
        </w:rPr>
        <w:t>4.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 </w:t>
      </w:r>
      <w:r>
        <w:rPr>
          <w:rFonts w:ascii="Times New Roman" w:hAnsi="Times New Roman"/>
          <w:b/>
          <w:i w:val="0"/>
          <w:color w:val="000000"/>
          <w:sz w:val="21"/>
        </w:rPr>
        <w:t>REJECT: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Interkom-Auto's rigid bank-integrated automated credit scoring, which would sever multi-year relational B2B trust chains with Astana GAZelle mechanics.</w:t>
      </w:r>
    </w:p>
    <w:p>
      <w:pPr>
        <w:keepNext/>
        <w:spacing w:before="180" w:after="60" w:line="276" w:lineRule="auto"/>
        <w:pBdr>
          <w:bottom w:val="single" w:sz="4" w:space="4" w:color="CBD5E1"/>
        </w:pBdr>
      </w:pPr>
      <w:r>
        <w:rPr>
          <w:rFonts w:ascii="Times New Roman" w:hAnsi="Times New Roman"/>
          <w:b/>
          <w:color w:val="1A2536"/>
          <w:sz w:val="22"/>
        </w:rPr>
        <w:t>FIELD 5 · EVIDENCE</w:t>
      </w:r>
    </w:p>
    <w:p>
      <w:pPr>
        <w:spacing w:before="0" w:after="60" w:line="276" w:lineRule="auto"/>
        <w:ind w:left="454" w:hanging="454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[1] G. Yeshenkulova, N. Ibadildin, and M. Tleubayeva, </w:t>
      </w:r>
      <w:r>
        <w:rPr>
          <w:rFonts w:ascii="Times New Roman" w:hAnsi="Times New Roman"/>
          <w:b w:val="0"/>
          <w:i/>
          <w:color w:val="000000"/>
          <w:sz w:val="21"/>
        </w:rPr>
        <w:t>Business Administration</w:t>
      </w:r>
      <w:r>
        <w:rPr>
          <w:rFonts w:ascii="Times New Roman" w:hAnsi="Times New Roman"/>
          <w:b w:val="0"/>
          <w:i w:val="0"/>
          <w:color w:val="000000"/>
          <w:sz w:val="21"/>
        </w:rPr>
        <w:t>. Almaty: ZIALY BASPASY, 2026.</w:t>
      </w:r>
    </w:p>
    <w:p>
      <w:pPr>
        <w:spacing w:before="0" w:after="60" w:line="276" w:lineRule="auto"/>
        <w:ind w:left="454" w:hanging="454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[2] OpenStax, </w:t>
      </w:r>
      <w:r>
        <w:rPr>
          <w:rFonts w:ascii="Times New Roman" w:hAnsi="Times New Roman"/>
          <w:b w:val="0"/>
          <w:i/>
          <w:color w:val="000000"/>
          <w:sz w:val="21"/>
        </w:rPr>
        <w:t>Introduction to Business</w:t>
      </w:r>
      <w:r>
        <w:rPr>
          <w:rFonts w:ascii="Times New Roman" w:hAnsi="Times New Roman"/>
          <w:b w:val="0"/>
          <w:i w:val="0"/>
          <w:color w:val="000000"/>
          <w:sz w:val="21"/>
        </w:rPr>
        <w:t>, 2nd ed., 2026, Ch. 16.</w:t>
      </w:r>
    </w:p>
    <w:p>
      <w:pPr>
        <w:spacing w:before="0" w:after="60" w:line="276" w:lineRule="auto"/>
        <w:ind w:left="454" w:hanging="454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[3] Tax Code of the Republic of Kazakhstan, Law No. 120-VI, Art. 683, 2026.</w:t>
      </w:r>
    </w:p>
    <w:p>
      <w:pPr>
        <w:keepNext/>
        <w:spacing w:before="180" w:after="60" w:line="276" w:lineRule="auto"/>
        <w:pBdr>
          <w:bottom w:val="single" w:sz="4" w:space="4" w:color="CBD5E1"/>
        </w:pBdr>
      </w:pPr>
      <w:r>
        <w:rPr>
          <w:rFonts w:ascii="Times New Roman" w:hAnsi="Times New Roman"/>
          <w:b/>
          <w:color w:val="1A2536"/>
          <w:sz w:val="22"/>
        </w:rPr>
        <w:t>FIELD 6 · CAPSTONE LINK</w:t>
      </w:r>
    </w:p>
    <w:p>
      <w:pPr>
        <w:spacing w:before="0" w:after="9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Weekly Record 8 forms the empirical foundation of the </w:t>
      </w:r>
      <w:r>
        <w:rPr>
          <w:rFonts w:ascii="Times New Roman" w:hAnsi="Times New Roman"/>
          <w:b/>
          <w:i w:val="0"/>
          <w:color w:val="000000"/>
          <w:sz w:val="22"/>
        </w:rPr>
        <w:t>Financial Viability and Risk Governance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section in our final Capstone report and Business Impact Deck. Specifically, the verified 2026 ratio benchmarks (</w:t>
      </w:r>
      <w:r>
        <w:rPr>
          <w:rFonts w:ascii="Times New Roman" w:hAnsi="Times New Roman"/>
          <w:b w:val="0"/>
          <w:i w:val="0"/>
          <w:color w:val="000000"/>
          <w:sz w:val="22"/>
        </w:rPr>
        <w:t>2.33x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2"/>
        </w:rPr>
        <w:t>0.44x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2"/>
        </w:rPr>
        <w:t>7.00%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2"/>
        </w:rPr>
        <w:t>0.79x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), the human-vs-AI discrepancy audit, and </w:t>
      </w:r>
      <w:r>
        <w:rPr>
          <w:rFonts w:ascii="Times New Roman" w:hAnsi="Times New Roman"/>
          <w:b w:val="0"/>
          <w:i w:val="0"/>
          <w:color w:val="000000"/>
          <w:sz w:val="22"/>
        </w:rPr>
        <w:t>ABPos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Kaspi QR cash-velocity proofs (</w:t>
      </w:r>
      <w:r>
        <w:rPr>
          <w:rFonts w:ascii="Times New Roman" w:hAnsi="Times New Roman"/>
          <w:b w:val="0"/>
          <w:i w:val="0"/>
          <w:color w:val="000000"/>
          <w:sz w:val="22"/>
        </w:rPr>
        <w:t>&gt;3.0M KZT/day</w:t>
      </w:r>
      <w:r>
        <w:rPr>
          <w:rFonts w:ascii="Times New Roman" w:hAnsi="Times New Roman"/>
          <w:b w:val="0"/>
          <w:i w:val="0"/>
          <w:color w:val="000000"/>
          <w:sz w:val="22"/>
        </w:rPr>
        <w:t>) substantiate AB Auto's working-capital resilience during multi-branch digitalization across Koktal 15B and Abylai Khan 62, while providing the quantitative financial evidence (</w:t>
      </w:r>
      <w:r>
        <w:rPr>
          <w:rFonts w:ascii="Times New Roman" w:hAnsi="Times New Roman"/>
          <w:b w:val="0"/>
          <w:i w:val="0"/>
          <w:color w:val="000000"/>
          <w:sz w:val="22"/>
        </w:rPr>
        <w:t>Ground 1</w:t>
      </w:r>
      <w:r>
        <w:rPr>
          <w:rFonts w:ascii="Times New Roman" w:hAnsi="Times New Roman"/>
          <w:b w:val="0"/>
          <w:i w:val="0"/>
          <w:color w:val="000000"/>
          <w:sz w:val="22"/>
        </w:rPr>
        <w:t>) defended in Assignment 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555555"/>
        <w:sz w:val="19"/>
      </w:rPr>
      <w:t xml:space="preserve">Manat Amir (DPA-2602, ID: 261434)  |  Page </w:t>
    </w:r>
    <w:r>
      <w:rPr>
        <w:rFonts w:ascii="Times New Roman" w:hAnsi="Times New Roman"/>
        <w:color w:val="555555"/>
        <w:sz w:val="19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  <w:color w:val="555555"/>
        <w:sz w:val="19"/>
      </w:rPr>
      <w:t xml:space="preserve"> of </w:t>
    </w:r>
    <w:r>
      <w:rPr>
        <w:rFonts w:ascii="Times New Roman" w:hAnsi="Times New Roman"/>
        <w:color w:val="555555"/>
        <w:sz w:val="19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555555"/>
        <w:sz w:val="19"/>
      </w:rPr>
      <w:t>Astana IT University · BA 1204 / BA2026 · Weekly Record 8 (Financial Tools &amp; Discrepancy Audit)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