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2"/>
        </w:rPr>
        <w:t>ASTANA IT UNIVERSITY · School of Digital Public Administration</w:t>
      </w:r>
    </w:p>
    <w:p>
      <w:pPr>
        <w:spacing w:before="40" w:after="40" w:line="276" w:lineRule="auto"/>
        <w:jc w:val="center"/>
      </w:pPr>
      <w:r>
        <w:rPr>
          <w:rFonts w:ascii="Times New Roman" w:hAnsi="Times New Roman"/>
          <w:b/>
          <w:color w:val="1A2536"/>
          <w:sz w:val="26"/>
        </w:rPr>
        <w:t>WEEKLY INTEGRATED LEARNING RECORD 9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i/>
          <w:sz w:val="22"/>
        </w:rPr>
        <w:t>Week 9: Career Capability Portfolio &amp; Workforce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Student: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Manat Amir (ID: 261434, Group: DPA-2602)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Course: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Administration (BA 1204 / BA2026) · Trimester 1 (2026–2027)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Course Instructors: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Gaukhar Yeshenkulova (Lectures) · Symbat Ashimkhanova (Practices)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Company B (Focal):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AB Auto (Astana, 4 IPs, Simplified Tax 3%, Koktal 15B)</w:t>
            </w:r>
          </w:p>
        </w:tc>
      </w:tr>
      <w:tr>
        <w:trPr>
          <w:cantSplit/>
        </w:trP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Company A (Comparator):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Interkom-Auto (TOO, General Tax Regime 12% VAT, &gt;1.3B KZT Taxpayer)</w:t>
            </w:r>
          </w:p>
        </w:tc>
      </w:tr>
    </w:tbl>
    <w:p>
      <w:pPr>
        <w:spacing w:before="120" w:after="80" w:line="276" w:lineRule="auto"/>
      </w:pPr>
      <w:r>
        <w:rPr>
          <w:rFonts w:ascii="Times New Roman" w:hAnsi="Times New Roman"/>
          <w:b/>
          <w:i w:val="0"/>
          <w:color w:val="334155"/>
          <w:sz w:val="19"/>
        </w:rPr>
        <w:t>Syllabus Note:</w:t>
      </w:r>
      <w:r>
        <w:rPr>
          <w:rFonts w:ascii="Times New Roman" w:hAnsi="Times New Roman"/>
          <w:b w:val="0"/>
          <w:i w:val="0"/>
          <w:color w:val="334155"/>
          <w:sz w:val="19"/>
        </w:rPr>
        <w:t xml:space="preserve"> </w:t>
      </w:r>
      <w:r>
        <w:rPr>
          <w:rFonts w:ascii="Times New Roman" w:hAnsi="Times New Roman"/>
          <w:b w:val="0"/>
          <w:i/>
          <w:color w:val="334155"/>
          <w:sz w:val="19"/>
        </w:rPr>
        <w:t xml:space="preserve">Per BA2026 syllabus rules for Week 9 (Assignment 4 submission week), only </w:t>
      </w:r>
      <w:r>
        <w:rPr>
          <w:rFonts w:ascii="Times New Roman" w:hAnsi="Times New Roman"/>
          <w:b w:val="0"/>
          <w:i/>
          <w:color w:val="334155"/>
          <w:sz w:val="19"/>
        </w:rPr>
        <w:t>Fields 1 and 2</w:t>
      </w:r>
      <w:r>
        <w:rPr>
          <w:rFonts w:ascii="Times New Roman" w:hAnsi="Times New Roman"/>
          <w:b w:val="0"/>
          <w:i/>
          <w:color w:val="334155"/>
          <w:sz w:val="19"/>
        </w:rPr>
        <w:t xml:space="preserve"> are recorded here; Fields 3–6 are formally consolidated into Assignment 4.</w:t>
      </w:r>
    </w:p>
    <w:p>
      <w:pPr>
        <w:spacing w:before="20" w:after="80"/>
        <w:pBdr>
          <w:bottom w:val="single" w:sz="8" w:space="4" w:color="1A2536"/>
        </w:pBdr>
      </w:pPr>
    </w:p>
    <w:p>
      <w:pPr>
        <w:keepNext/>
        <w:spacing w:before="120" w:after="4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1 · CONCEPT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In an AI-enabled economy, durable graduate employability rests on the </w:t>
      </w:r>
      <w:r>
        <w:rPr>
          <w:rFonts w:ascii="Times New Roman" w:hAnsi="Times New Roman"/>
          <w:b/>
          <w:i w:val="0"/>
          <w:color w:val="000000"/>
          <w:sz w:val="22"/>
        </w:rPr>
        <w:t>Four Pillars of Durable Capabilities</w:t>
      </w:r>
      <w:r>
        <w:rPr>
          <w:rFonts w:ascii="Times New Roman" w:hAnsi="Times New Roman"/>
          <w:b w:val="0"/>
          <w:i w:val="0"/>
          <w:color w:val="000000"/>
          <w:sz w:val="22"/>
        </w:rPr>
        <w:t>: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1.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Human Capabilities: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Interpersonal empathy, high-stakes negotiation, and trust-based relationship management with B2B counterparties where informal reciprocity governs transactions.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2.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Business Capabilities: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Applied financial literacy, command of national tax regimes, disciplined gross-margin defense, and non-delegable fiduciary accountability before regulators and owners.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3.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Digital Capabilities: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Architecting and governing domain software workflows (POS/ERP), verifying algorithmic pipelines, and orchestrating real-time multi-node database synchronization.</w:t>
      </w:r>
    </w:p>
    <w:p>
      <w:pPr>
        <w:spacing w:before="0" w:after="50" w:line="276" w:lineRule="auto"/>
        <w:ind w:left="369" w:hanging="255"/>
      </w:pPr>
      <w:r>
        <w:rPr>
          <w:rFonts w:ascii="Times New Roman" w:hAnsi="Times New Roman"/>
          <w:b/>
          <w:i w:val="0"/>
          <w:color w:val="000000"/>
          <w:sz w:val="21"/>
        </w:rPr>
        <w:t>4.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 </w:t>
      </w:r>
      <w:r>
        <w:rPr>
          <w:rFonts w:ascii="Times New Roman" w:hAnsi="Times New Roman"/>
          <w:b/>
          <w:i w:val="0"/>
          <w:color w:val="000000"/>
          <w:sz w:val="21"/>
        </w:rPr>
        <w:t>Meta-Capabilities:</w:t>
      </w:r>
      <w:r>
        <w:rPr>
          <w:rFonts w:ascii="Times New Roman" w:hAnsi="Times New Roman"/>
          <w:b w:val="0"/>
          <w:i w:val="0"/>
          <w:color w:val="000000"/>
          <w:sz w:val="21"/>
        </w:rPr>
        <w:t xml:space="preserve"> Epistemic vigilance, critical auditing of algorithmic blind spots, adaptive judgment under supply uncertainty, and autonomous physical quality verification.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Concept Check: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As generative and analytical software drives the marginal cost of routine calculation and clerical lookup toward zero, pure computational execution loses market scarcity. Automation therefore shifts specialist value upward toward </w:t>
      </w:r>
      <w:r>
        <w:rPr>
          <w:rFonts w:ascii="Times New Roman" w:hAnsi="Times New Roman"/>
          <w:b/>
          <w:i w:val="0"/>
          <w:color w:val="000000"/>
          <w:sz w:val="22"/>
        </w:rPr>
        <w:t>meta-capabilities and local contextual interpretation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—auditing </w:t>
      </w:r>
      <w:r>
        <w:rPr>
          <w:rFonts w:ascii="Times New Roman" w:hAnsi="Times New Roman"/>
          <w:b w:val="0"/>
          <w:i/>
          <w:color w:val="000000"/>
          <w:sz w:val="22"/>
        </w:rPr>
        <w:t>when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standard models misfire against informal credit norms, physical product defects, or statutory constraints.</w:t>
      </w:r>
    </w:p>
    <w:p>
      <w:pPr>
        <w:keepNext/>
        <w:spacing w:before="120" w:after="40" w:line="276" w:lineRule="auto"/>
        <w:pBdr>
          <w:bottom w:val="single" w:sz="4" w:space="4" w:color="CBD5E1"/>
        </w:pBdr>
      </w:pPr>
      <w:r>
        <w:rPr>
          <w:rFonts w:ascii="Times New Roman" w:hAnsi="Times New Roman"/>
          <w:b/>
          <w:color w:val="1A2536"/>
          <w:sz w:val="22"/>
        </w:rPr>
        <w:t>FIELD 2 · APPLICATION (AB AUTO CAREER CAPABILITY PORTFOLIO MATRIX)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The matrix below maps the four durable capability pillars directly to AB Auto's operational architecture and custom </w:t>
      </w:r>
      <w:r>
        <w:rPr>
          <w:rFonts w:ascii="Times New Roman" w:hAnsi="Times New Roman"/>
          <w:b w:val="0"/>
          <w:i w:val="0"/>
          <w:color w:val="000000"/>
          <w:sz w:val="22"/>
        </w:rPr>
        <w:t>ABPos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deployment across Koktal 15B and Abylai Khan 62: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2"/>
        <w:gridCol w:w="3402"/>
        <w:gridCol w:w="3402"/>
      </w:tblGrid>
      <w:tr>
        <w:trPr>
          <w:tblHeader/>
          <w:cantSplit/>
        </w:trPr>
        <w:tc>
          <w:tcPr>
            <w:tcW w:type="dxa" w:w="1984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Capability Pillar</w:t>
            </w:r>
          </w:p>
        </w:tc>
        <w:tc>
          <w:tcPr>
            <w:tcW w:type="dxa" w:w="4932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Operational Execution in AB Auto &amp; ABPos Architecture</w:t>
            </w:r>
          </w:p>
        </w:tc>
        <w:tc>
          <w:tcPr>
            <w:tcW w:type="dxa" w:w="328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Strategic &amp; Governance Impact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1. Human Capabilities</w:t>
            </w:r>
          </w:p>
        </w:tc>
        <w:tc>
          <w:tcPr>
            <w:tcW w:type="dxa" w:w="493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Managing informal post-repair credit lines with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4–5 core partnering STO garages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(driving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45% of Koktal 15B B2B revenue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) and personally resolving GAZelle parts warranty claims at the counter.</w:t>
            </w:r>
          </w:p>
        </w:tc>
        <w:tc>
          <w:tcPr>
            <w:tcW w:type="dxa" w:w="328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Preserves relational mechanic loyalty that rigid corporate ERP credit gates (Interkom-Auto) cannot price or replicate.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 Business Capabilities</w:t>
            </w:r>
          </w:p>
        </w:tc>
        <w:tc>
          <w:tcPr>
            <w:tcW w:type="dxa" w:w="493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Enforcing the owner's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&gt;=18% gross margin floor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allocating revenue within statutory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3% Simplified Tax caps across 4 IPs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(Art. 683 RK Tax Code), and overriding false 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0.44x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AI insolvency alerts via cash-velocity audits.</w:t>
            </w:r>
          </w:p>
        </w:tc>
        <w:tc>
          <w:tcPr>
            <w:tcW w:type="dxa" w:w="328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Protects 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7.00%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net profitability, prevents marketplace price-war erosion, and ensures statutory tax compliance.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3. Digital Capabilities</w:t>
            </w:r>
          </w:p>
        </w:tc>
        <w:tc>
          <w:tcPr>
            <w:tcW w:type="dxa" w:w="493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Supervising multi-hub 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ABPos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database synchronization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Koktal 15B + Abylai Khan 62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), eliminating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35-minute cross-branch phone bottleneck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governing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&lt;60-second Kaspi API zero-stock delisting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triggers.</w:t>
            </w:r>
          </w:p>
        </w:tc>
        <w:tc>
          <w:tcPr>
            <w:tcW w:type="dxa" w:w="328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Cuts order-to-dispatch lead time from 65 to 11.5 minutes and eliminates Kaspi stockout cancellation penalties.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4. Meta-Capabilities</w:t>
            </w:r>
          </w:p>
        </w:tc>
        <w:tc>
          <w:tcPr>
            <w:tcW w:type="dxa" w:w="493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Epistemic auditing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EAEU supplier invoice OCR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intake, executing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&lt;85% OCR confidence escalation protocol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conducting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&lt;2-minute physical factory casting-stamp checks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maintaining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12-hour offline warehouse failover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operation.</w:t>
            </w:r>
          </w:p>
        </w:tc>
        <w:tc>
          <w:tcPr>
            <w:tcW w:type="dxa" w:w="328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Prevents counterfeit or mis-cataloged assemblies from immobilizing commercial fleets during internet or border disruptions.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555555"/>
        <w:sz w:val="19"/>
      </w:rPr>
      <w:t xml:space="preserve">Manat Amir (DPA-2602, ID: 261434)  |  Page </w:t>
    </w:r>
    <w:r>
      <w:rPr>
        <w:rFonts w:ascii="Times New Roman" w:hAnsi="Times New Roman"/>
        <w:color w:val="555555"/>
        <w:sz w:val="19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color w:val="555555"/>
        <w:sz w:val="19"/>
      </w:rPr>
      <w:t xml:space="preserve"> of </w:t>
    </w:r>
    <w:r>
      <w:rPr>
        <w:rFonts w:ascii="Times New Roman" w:hAnsi="Times New Roman"/>
        <w:color w:val="555555"/>
        <w:sz w:val="19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555555"/>
        <w:sz w:val="19"/>
      </w:rPr>
      <w:t>Astana IT University · BA 1204 / BA2026 · Weekly Record 9 (Career Capability Portfolio)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