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Times New Roman" w:hAnsi="Times New Roman" w:eastAsia="Times New Roman"/>
          <w:b/>
          <w:color w:val="17365D"/>
          <w:sz w:val="38"/>
        </w:rPr>
        <w:t>AI-USE DECLARATION</w:t>
      </w:r>
    </w:p>
    <w:p>
      <w:pPr>
        <w:jc w:val="center"/>
      </w:pPr>
      <w:r>
        <w:rPr>
          <w:rFonts w:ascii="Times New Roman" w:hAnsi="Times New Roman" w:eastAsia="Times New Roman"/>
          <w:b/>
          <w:color w:val="222222"/>
          <w:sz w:val="26"/>
        </w:rPr>
        <w:t>Assignment 4: Argumentative Essay</w:t>
      </w:r>
    </w:p>
    <w:p>
      <w:pPr>
        <w:spacing w:after="200"/>
        <w:jc w:val="center"/>
      </w:pPr>
      <w:r>
        <w:rPr>
          <w:rFonts w:ascii="Times New Roman" w:hAnsi="Times New Roman" w:eastAsia="Times New Roman"/>
          <w:b w:val="0"/>
          <w:i/>
          <w:color w:val="555555"/>
          <w:sz w:val="21"/>
        </w:rPr>
        <w:t>The value of business graduates in an AI-enabled economy</w:t>
      </w:r>
    </w:p>
    <w:p>
      <w:pPr>
        <w:pStyle w:val="Heading1"/>
      </w:pPr>
      <w:r>
        <w:t>Student details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cantSplit/>
        </w:trPr>
        <w:tc>
          <w:tcPr>
            <w:tcW w:type="dxa" w:w="158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2F2F2"/>
          </w:tcPr>
          <w:p>
            <w:r>
              <w:rPr>
                <w:rFonts w:ascii="Times New Roman" w:hAnsi="Times New Roman" w:eastAsia="Times New Roman"/>
                <w:b/>
                <w:color w:val="17365D"/>
                <w:sz w:val="19"/>
              </w:rPr>
              <w:t>Student name</w:t>
            </w:r>
          </w:p>
        </w:tc>
        <w:tc>
          <w:tcPr>
            <w:tcW w:type="dxa" w:w="381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Manat Amir</w:t>
            </w:r>
          </w:p>
        </w:tc>
        <w:tc>
          <w:tcPr>
            <w:tcW w:type="dxa" w:w="158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2F2F2"/>
          </w:tcPr>
          <w:p>
            <w:r>
              <w:rPr>
                <w:rFonts w:ascii="Times New Roman" w:hAnsi="Times New Roman" w:eastAsia="Times New Roman"/>
                <w:b/>
                <w:color w:val="17365D"/>
                <w:sz w:val="19"/>
              </w:rPr>
              <w:t>Student ID</w:t>
            </w:r>
          </w:p>
        </w:tc>
        <w:tc>
          <w:tcPr>
            <w:tcW w:type="dxa" w:w="35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261434</w:t>
            </w:r>
          </w:p>
        </w:tc>
      </w:tr>
      <w:tr>
        <w:trPr>
          <w:cantSplit/>
        </w:trPr>
        <w:tc>
          <w:tcPr>
            <w:tcW w:type="dxa" w:w="158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2F2F2"/>
          </w:tcPr>
          <w:p>
            <w:r>
              <w:rPr>
                <w:rFonts w:ascii="Times New Roman" w:hAnsi="Times New Roman" w:eastAsia="Times New Roman"/>
                <w:b/>
                <w:color w:val="17365D"/>
                <w:sz w:val="19"/>
              </w:rPr>
              <w:t>Group</w:t>
            </w:r>
          </w:p>
        </w:tc>
        <w:tc>
          <w:tcPr>
            <w:tcW w:type="dxa" w:w="381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DPA-2602</w:t>
            </w:r>
          </w:p>
        </w:tc>
        <w:tc>
          <w:tcPr>
            <w:tcW w:type="dxa" w:w="158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2F2F2"/>
          </w:tcPr>
          <w:p>
            <w:r>
              <w:rPr>
                <w:rFonts w:ascii="Times New Roman" w:hAnsi="Times New Roman" w:eastAsia="Times New Roman"/>
                <w:b/>
                <w:color w:val="17365D"/>
                <w:sz w:val="19"/>
              </w:rPr>
              <w:t>Submission date</w:t>
            </w:r>
          </w:p>
        </w:tc>
        <w:tc>
          <w:tcPr>
            <w:tcW w:type="dxa" w:w="35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31.10.2026</w:t>
            </w:r>
          </w:p>
        </w:tc>
      </w:tr>
      <w:tr>
        <w:trPr>
          <w:cantSplit/>
        </w:trPr>
        <w:tc>
          <w:tcPr>
            <w:tcW w:type="dxa" w:w="158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2F2F2"/>
          </w:tcPr>
          <w:p>
            <w:r>
              <w:rPr>
                <w:rFonts w:ascii="Times New Roman" w:hAnsi="Times New Roman" w:eastAsia="Times New Roman"/>
                <w:b/>
                <w:color w:val="17365D"/>
                <w:sz w:val="19"/>
              </w:rPr>
              <w:t>Company A</w:t>
            </w:r>
          </w:p>
        </w:tc>
        <w:tc>
          <w:tcPr>
            <w:tcW w:type="dxa" w:w="381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Times New Roman" w:hAnsi="Times New Roman"/>
                <w:b w:val="0"/>
                <w:color w:val="000000"/>
                <w:sz w:val="19"/>
              </w:rPr>
              <w:t>Interkom-Auto (TOO, General Tax Regime 12% VAT, &gt;1.3B KZT Taxpayer)</w:t>
            </w:r>
          </w:p>
        </w:tc>
        <w:tc>
          <w:tcPr>
            <w:tcW w:type="dxa" w:w="158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2F2F2"/>
          </w:tcPr>
          <w:p>
            <w:r>
              <w:rPr>
                <w:rFonts w:ascii="Times New Roman" w:hAnsi="Times New Roman" w:eastAsia="Times New Roman"/>
                <w:b/>
                <w:color w:val="17365D"/>
                <w:sz w:val="19"/>
              </w:rPr>
              <w:t>Company B</w:t>
            </w:r>
          </w:p>
        </w:tc>
        <w:tc>
          <w:tcPr>
            <w:tcW w:type="dxa" w:w="35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20" w:after="20" w:line="264" w:lineRule="auto"/>
            </w:pPr>
            <w:r>
              <w:rPr>
                <w:rFonts w:ascii="Times New Roman" w:hAnsi="Times New Roman"/>
                <w:b w:val="0"/>
                <w:color w:val="000000"/>
                <w:sz w:val="19"/>
              </w:rPr>
              <w:t>AB Auto (Astana — 4 IPs, Special Tax Regime 3%, Koktal 15B Hub)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shd w:fill="D9EAF7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Times New Roman" w:hAnsi="Times New Roman" w:eastAsia="Times New Roman"/>
                <w:b/>
                <w:color w:val="17365D"/>
                <w:sz w:val="22"/>
              </w:rPr>
              <w:t>AI-use level and student responsibility</w:t>
            </w:r>
          </w:p>
          <w:p>
            <w:pPr>
              <w:ind w:left="72"/>
            </w:pPr>
            <w:r>
              <w:rPr>
                <w:rFonts w:ascii="Times New Roman" w:hAnsi="Times New Roman" w:eastAsia="Times New Roman"/>
                <w:b w:val="0"/>
                <w:color w:val="222222"/>
                <w:sz w:val="19"/>
              </w:rPr>
              <w:t>• Preparation of this assignment operates at AI-use Level 2 (supported, disclosed).</w:t>
            </w:r>
          </w:p>
          <w:p>
            <w:pPr>
              <w:ind w:left="72"/>
            </w:pPr>
            <w:r>
              <w:rPr>
                <w:rFonts w:ascii="Times New Roman" w:hAnsi="Times New Roman" w:eastAsia="Times New Roman"/>
                <w:b w:val="0"/>
                <w:color w:val="222222"/>
                <w:sz w:val="19"/>
              </w:rPr>
              <w:t>• Permitted with disclosure: brainstorming, structural feedback, language support, counterargument generation where relevant, and preliminary analysis.</w:t>
            </w:r>
          </w:p>
          <w:p>
            <w:pPr>
              <w:ind w:left="72"/>
            </w:pPr>
            <w:r>
              <w:rPr>
                <w:rFonts w:ascii="Times New Roman" w:hAnsi="Times New Roman" w:eastAsia="Times New Roman"/>
                <w:b w:val="0"/>
                <w:color w:val="222222"/>
                <w:sz w:val="19"/>
              </w:rPr>
              <w:t>• You must independently verify every claim, number and source and author the final analysis yourself.</w:t>
            </w:r>
          </w:p>
          <w:p>
            <w:pPr>
              <w:ind w:left="72"/>
            </w:pPr>
            <w:r>
              <w:rPr>
                <w:rFonts w:ascii="Times New Roman" w:hAnsi="Times New Roman" w:eastAsia="Times New Roman"/>
                <w:b w:val="0"/>
                <w:color w:val="222222"/>
                <w:sz w:val="19"/>
              </w:rPr>
              <w:t>• This assignment has no separate individual defence; any live authentication activity must be completed without AI assistance.</w:t>
            </w:r>
          </w:p>
          <w:p>
            <w:pPr>
              <w:ind w:left="72"/>
            </w:pPr>
            <w:r>
              <w:rPr>
                <w:rFonts w:ascii="Times New Roman" w:hAnsi="Times New Roman" w:eastAsia="Times New Roman"/>
                <w:b w:val="0"/>
                <w:color w:val="222222"/>
                <w:sz w:val="19"/>
              </w:rPr>
              <w:t>• Do not upload the OpenStax textbook or the course core text to an AI system.</w:t>
            </w:r>
          </w:p>
        </w:tc>
      </w:tr>
    </w:tbl>
    <w:p/>
    <w:p>
      <w:pPr>
        <w:pStyle w:val="Heading1"/>
      </w:pPr>
      <w:r>
        <w:t>A. Overall AI-use status</w:t>
      </w:r>
    </w:p>
    <w:p>
      <w:pPr>
        <w:ind w:left="0"/>
      </w:pPr>
      <w:r>
        <w:rPr>
          <w:rFonts w:ascii="Times New Roman" w:hAnsi="Times New Roman"/>
          <w:b/>
          <w:color w:val="000000"/>
          <w:sz w:val="21"/>
        </w:rPr>
        <w:t>☑ [X] I used one or more AI systems while preparing this assignment. I have documented each use below.</w:t>
      </w:r>
    </w:p>
    <w:p>
      <w:pPr>
        <w:ind w:left="0"/>
      </w:pPr>
      <w:r>
        <w:rPr>
          <w:rFonts w:ascii="Times New Roman" w:hAnsi="Times New Roman" w:eastAsia="Times New Roman"/>
          <w:b w:val="0"/>
          <w:color w:val="222222"/>
          <w:sz w:val="21"/>
        </w:rPr>
        <w:t>☐ I did not use any AI system for this assignment. I have completed the integrity confirmations and final declaration only.</w:t>
      </w:r>
    </w:p>
    <w:p>
      <w:r>
        <w:rPr>
          <w:rFonts w:ascii="Times New Roman" w:hAnsi="Times New Roman" w:eastAsia="Times New Roman"/>
          <w:b w:val="0"/>
          <w:i/>
          <w:color w:val="666666"/>
          <w:sz w:val="19"/>
        </w:rPr>
        <w:t>If you select “no AI used,” do not leave the declaration blank: tick the second box and sign the final declaration.</w:t>
      </w:r>
    </w:p>
    <w:p>
      <w:pPr>
        <w:pStyle w:val="Heading1"/>
      </w:pPr>
      <w:r>
        <w:t>B. AI systems register</w:t>
      </w:r>
    </w:p>
    <w:p>
      <w:r>
        <w:rPr>
          <w:rFonts w:ascii="Times New Roman" w:hAnsi="Times New Roman" w:eastAsia="Times New Roman"/>
          <w:sz w:val="19"/>
        </w:rPr>
        <w:t>List every AI system used. Add rows if needed.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  <w:cantSplit/>
          <w:tblHeader/>
        </w:trPr>
        <w:tc>
          <w:tcPr>
            <w:tcW w:type="dxa" w:w="2232"/>
            <w:shd w:fill="17365D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keepNext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6"/>
              </w:rPr>
              <w:t>AI system / model</w:t>
            </w:r>
          </w:p>
        </w:tc>
        <w:tc>
          <w:tcPr>
            <w:tcW w:type="dxa" w:w="2448"/>
            <w:shd w:fill="17365D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keepNext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6"/>
              </w:rPr>
              <w:t>Provider / version (if known)</w:t>
            </w:r>
          </w:p>
        </w:tc>
        <w:tc>
          <w:tcPr>
            <w:tcW w:type="dxa" w:w="1584"/>
            <w:shd w:fill="17365D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keepNext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6"/>
              </w:rPr>
              <w:t>Date(s) used</w:t>
            </w:r>
          </w:p>
        </w:tc>
        <w:tc>
          <w:tcPr>
            <w:tcW w:type="dxa" w:w="4320"/>
            <w:shd w:fill="17365D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keepNext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6"/>
              </w:rPr>
              <w:t>Purpose in this assignment</w:t>
            </w:r>
          </w:p>
        </w:tc>
      </w:tr>
      <w:tr>
        <w:trPr>
          <w:cantSplit/>
        </w:trPr>
        <w:tc>
          <w:tcPr>
            <w:tcW w:type="dxa" w:w="2232"/>
            <w:tcMar>
              <w:top w:w="100" w:type="dxa"/>
              <w:start w:w="80" w:type="dxa"/>
              <w:bottom w:w="100" w:type="dxa"/>
              <w:end w:w="80" w:type="dxa"/>
            </w:tcMar>
            <w:vAlign w:val="top"/>
          </w:tcPr>
          <w:p>
            <w:pPr>
              <w:spacing w:after="20" w:before="20" w:line="264" w:lineRule="auto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Antigravity (Agentic Assistant)</w:t>
            </w:r>
          </w:p>
        </w:tc>
        <w:tc>
          <w:tcPr>
            <w:tcW w:type="dxa" w:w="2448"/>
            <w:tcMar>
              <w:top w:w="100" w:type="dxa"/>
              <w:start w:w="80" w:type="dxa"/>
              <w:bottom w:w="100" w:type="dxa"/>
              <w:end w:w="80" w:type="dxa"/>
            </w:tcMar>
            <w:vAlign w:val="top"/>
          </w:tcPr>
          <w:p>
            <w:pPr>
              <w:spacing w:after="20" w:before="20" w:line="264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Google DeepMind (Level 2)</w:t>
            </w:r>
          </w:p>
        </w:tc>
        <w:tc>
          <w:tcPr>
            <w:tcW w:type="dxa" w:w="1584"/>
            <w:tcMar>
              <w:top w:w="100" w:type="dxa"/>
              <w:start w:w="80" w:type="dxa"/>
              <w:bottom w:w="100" w:type="dxa"/>
              <w:end w:w="80" w:type="dxa"/>
            </w:tcMar>
            <w:vAlign w:val="top"/>
          </w:tcPr>
          <w:p>
            <w:pPr>
              <w:spacing w:after="20" w:before="20" w:line="264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29–31.10.2026</w:t>
            </w:r>
          </w:p>
        </w:tc>
        <w:tc>
          <w:tcPr>
            <w:tcW w:type="dxa" w:w="4320"/>
            <w:tcMar>
              <w:top w:w="100" w:type="dxa"/>
              <w:start w:w="80" w:type="dxa"/>
              <w:bottom w:w="100" w:type="dxa"/>
              <w:end w:w="80" w:type="dxa"/>
            </w:tcMar>
            <w:vAlign w:val="top"/>
          </w:tcPr>
          <w:p>
            <w:pPr>
              <w:spacing w:after="20" w:before="20" w:line="264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Brainstorming 5-part argumentative structure, verifying section word-count limits (850–950 words), and automating DOCX/PDF package compilation.</w:t>
            </w:r>
          </w:p>
        </w:tc>
      </w:tr>
      <w:tr>
        <w:trPr>
          <w:cantSplit/>
        </w:trPr>
        <w:tc>
          <w:tcPr>
            <w:tcW w:type="dxa" w:w="2232"/>
            <w:tcMar>
              <w:top w:w="100" w:type="dxa"/>
              <w:start w:w="80" w:type="dxa"/>
              <w:bottom w:w="100" w:type="dxa"/>
              <w:end w:w="80" w:type="dxa"/>
            </w:tcMar>
            <w:vAlign w:val="top"/>
          </w:tcPr>
          <w:p>
            <w:pPr>
              <w:spacing w:after="20" w:before="20" w:line="264" w:lineRule="auto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Claude 3.5 Sonnet</w:t>
            </w:r>
          </w:p>
        </w:tc>
        <w:tc>
          <w:tcPr>
            <w:tcW w:type="dxa" w:w="2448"/>
            <w:tcMar>
              <w:top w:w="100" w:type="dxa"/>
              <w:start w:w="80" w:type="dxa"/>
              <w:bottom w:w="100" w:type="dxa"/>
              <w:end w:w="80" w:type="dxa"/>
            </w:tcMar>
            <w:vAlign w:val="top"/>
          </w:tcPr>
          <w:p>
            <w:pPr>
              <w:spacing w:after="20" w:before="20" w:line="264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Anthropic</w:t>
            </w:r>
          </w:p>
        </w:tc>
        <w:tc>
          <w:tcPr>
            <w:tcW w:type="dxa" w:w="1584"/>
            <w:tcMar>
              <w:top w:w="100" w:type="dxa"/>
              <w:start w:w="80" w:type="dxa"/>
              <w:bottom w:w="100" w:type="dxa"/>
              <w:end w:w="80" w:type="dxa"/>
            </w:tcMar>
            <w:vAlign w:val="top"/>
          </w:tcPr>
          <w:p>
            <w:pPr>
              <w:spacing w:after="20" w:before="20" w:line="264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30–31.10.2026</w:t>
            </w:r>
          </w:p>
        </w:tc>
        <w:tc>
          <w:tcPr>
            <w:tcW w:type="dxa" w:w="4320"/>
            <w:tcMar>
              <w:top w:w="100" w:type="dxa"/>
              <w:start w:w="80" w:type="dxa"/>
              <w:bottom w:w="100" w:type="dxa"/>
              <w:end w:w="80" w:type="dxa"/>
            </w:tcMar>
            <w:vAlign w:val="top"/>
          </w:tcPr>
          <w:p>
            <w:pPr>
              <w:spacing w:after="20" w:before="20" w:line="264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Drafting and stress-testing steelman counterargument options on autonomous multimodal AI ERP agents displacing junior financial analysts.</w:t>
            </w:r>
          </w:p>
        </w:tc>
      </w:tr>
      <w:tr>
        <w:trPr>
          <w:cantSplit/>
        </w:trPr>
        <w:tc>
          <w:tcPr>
            <w:tcW w:type="dxa" w:w="2232"/>
            <w:tcMar>
              <w:top w:w="100" w:type="dxa"/>
              <w:start w:w="80" w:type="dxa"/>
              <w:bottom w:w="100" w:type="dxa"/>
              <w:end w:w="80" w:type="dxa"/>
            </w:tcMar>
            <w:vAlign w:val="top"/>
          </w:tcPr>
          <w:p>
            <w:pPr>
              <w:spacing w:after="20" w:before="20" w:line="264" w:lineRule="auto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ChatGPT (GPT-4o)</w:t>
            </w:r>
          </w:p>
        </w:tc>
        <w:tc>
          <w:tcPr>
            <w:tcW w:type="dxa" w:w="2448"/>
            <w:tcMar>
              <w:top w:w="100" w:type="dxa"/>
              <w:start w:w="80" w:type="dxa"/>
              <w:bottom w:w="100" w:type="dxa"/>
              <w:end w:w="80" w:type="dxa"/>
            </w:tcMar>
            <w:vAlign w:val="top"/>
          </w:tcPr>
          <w:p>
            <w:pPr>
              <w:spacing w:after="20" w:before="20" w:line="264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OpenAI</w:t>
            </w:r>
          </w:p>
        </w:tc>
        <w:tc>
          <w:tcPr>
            <w:tcW w:type="dxa" w:w="1584"/>
            <w:tcMar>
              <w:top w:w="100" w:type="dxa"/>
              <w:start w:w="80" w:type="dxa"/>
              <w:bottom w:w="100" w:type="dxa"/>
              <w:end w:w="80" w:type="dxa"/>
            </w:tcMar>
            <w:vAlign w:val="top"/>
          </w:tcPr>
          <w:p>
            <w:pPr>
              <w:spacing w:after="20" w:before="20" w:line="264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28–31.10.2026</w:t>
            </w:r>
          </w:p>
        </w:tc>
        <w:tc>
          <w:tcPr>
            <w:tcW w:type="dxa" w:w="4320"/>
            <w:tcMar>
              <w:top w:w="100" w:type="dxa"/>
              <w:start w:w="80" w:type="dxa"/>
              <w:bottom w:w="100" w:type="dxa"/>
              <w:end w:w="80" w:type="dxa"/>
            </w:tcMar>
            <w:vAlign w:val="top"/>
          </w:tcPr>
          <w:p>
            <w:pPr>
              <w:spacing w:after="20" w:before="20" w:line="264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Generating raw textbook financial ratio interpretations for AB Auto's Week 8 Discrepancy Audit (testing Acid-Test 0.44x diagnosis) and academic phrasing polish.</w:t>
            </w:r>
          </w:p>
        </w:tc>
      </w:tr>
      <w:tr>
        <w:trPr>
          <w:cantSplit/>
        </w:trPr>
        <w:tc>
          <w:tcPr>
            <w:tcW w:type="dxa" w:w="2232"/>
            <w:tcMar>
              <w:top w:w="100" w:type="dxa"/>
              <w:start w:w="80" w:type="dxa"/>
              <w:bottom w:w="100" w:type="dxa"/>
              <w:end w:w="80" w:type="dxa"/>
            </w:tcMar>
            <w:vAlign w:val="top"/>
          </w:tcPr>
          <w:p>
            <w:pPr>
              <w:spacing w:after="20" w:before="20" w:line="264" w:lineRule="auto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Microsoft Excel / Python 3.13</w:t>
            </w:r>
          </w:p>
        </w:tc>
        <w:tc>
          <w:tcPr>
            <w:tcW w:type="dxa" w:w="2448"/>
            <w:tcMar>
              <w:top w:w="100" w:type="dxa"/>
              <w:start w:w="80" w:type="dxa"/>
              <w:bottom w:w="100" w:type="dxa"/>
              <w:end w:w="80" w:type="dxa"/>
            </w:tcMar>
            <w:vAlign w:val="top"/>
          </w:tcPr>
          <w:p>
            <w:pPr>
              <w:spacing w:after="20" w:before="20" w:line="264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Microsoft / Python PSF</w:t>
            </w:r>
          </w:p>
        </w:tc>
        <w:tc>
          <w:tcPr>
            <w:tcW w:type="dxa" w:w="1584"/>
            <w:tcMar>
              <w:top w:w="100" w:type="dxa"/>
              <w:start w:w="80" w:type="dxa"/>
              <w:bottom w:w="100" w:type="dxa"/>
              <w:end w:w="80" w:type="dxa"/>
            </w:tcMar>
            <w:vAlign w:val="top"/>
          </w:tcPr>
          <w:p>
            <w:pPr>
              <w:spacing w:after="20" w:before="20" w:line="264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28–31.10.2026</w:t>
            </w:r>
          </w:p>
        </w:tc>
        <w:tc>
          <w:tcPr>
            <w:tcW w:type="dxa" w:w="4320"/>
            <w:tcMar>
              <w:top w:w="100" w:type="dxa"/>
              <w:start w:w="80" w:type="dxa"/>
              <w:bottom w:w="100" w:type="dxa"/>
              <w:end w:w="80" w:type="dxa"/>
            </w:tcMar>
            <w:vAlign w:val="top"/>
          </w:tcPr>
          <w:p>
            <w:pPr>
              <w:spacing w:after="20" w:before="20" w:line="264" w:lineRule="auto"/>
            </w:pPr>
            <w:r>
              <w:rPr>
                <w:rFonts w:ascii="Times New Roman" w:hAnsi="Times New Roman"/>
                <w:b w:val="0"/>
                <w:color w:val="000000"/>
                <w:sz w:val="18"/>
              </w:rPr>
              <w:t>Deterministic verification of AB Auto 2026 ratios (Current 2.33x, Acid-Test 0.44x, Net Margin 7.0%, D/E 0.79x); zero OpenStax or course core texts uploaded.</w:t>
            </w:r>
          </w:p>
        </w:tc>
      </w:tr>
    </w:tbl>
    <w:p/>
    <w:p>
      <w:pPr>
        <w:pStyle w:val="Heading1"/>
      </w:pPr>
      <w:r>
        <w:t>C. Detailed AI activity and verification log</w:t>
      </w:r>
    </w:p>
    <w:p>
      <w:r>
        <w:rPr>
          <w:rFonts w:ascii="Times New Roman" w:hAnsi="Times New Roman" w:eastAsia="Times New Roman"/>
          <w:sz w:val="19"/>
        </w:rPr>
        <w:t>Record each materially different use. The declaration should show not only what the system did, but how you checked it and what you changed, rejected or corrected.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  <w:cantSplit/>
          <w:tblHeader/>
        </w:trPr>
        <w:tc>
          <w:tcPr>
            <w:tcW w:type="dxa" w:w="1944"/>
            <w:shd w:fill="17365D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keepNext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5"/>
              </w:rPr>
              <w:t>Part of assignment / activity</w:t>
            </w:r>
          </w:p>
        </w:tc>
        <w:tc>
          <w:tcPr>
            <w:tcW w:type="dxa" w:w="1512"/>
            <w:shd w:fill="17365D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keepNext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5"/>
              </w:rPr>
              <w:t>AI system</w:t>
            </w:r>
          </w:p>
        </w:tc>
        <w:tc>
          <w:tcPr>
            <w:tcW w:type="dxa" w:w="2520"/>
            <w:shd w:fill="17365D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keepNext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5"/>
              </w:rPr>
              <w:t>What I used AI to do</w:t>
            </w:r>
          </w:p>
        </w:tc>
        <w:tc>
          <w:tcPr>
            <w:tcW w:type="dxa" w:w="2952"/>
            <w:shd w:fill="17365D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keepNext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5"/>
              </w:rPr>
              <w:t>How I verified the output independently</w:t>
            </w:r>
          </w:p>
        </w:tc>
        <w:tc>
          <w:tcPr>
            <w:tcW w:type="dxa" w:w="2592"/>
            <w:shd w:fill="17365D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keepNext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5"/>
              </w:rPr>
              <w:t>What I changed, rejected or corrected</w:t>
            </w:r>
          </w:p>
        </w:tc>
      </w:tr>
      <w:tr>
        <w:trPr>
          <w:cantSplit/>
        </w:trPr>
        <w:tc>
          <w:tcPr>
            <w:tcW w:type="dxa" w:w="1944"/>
            <w:tcMar>
              <w:top w:w="100" w:type="dxa"/>
              <w:start w:w="80" w:type="dxa"/>
              <w:bottom w:w="100" w:type="dxa"/>
              <w:end w:w="80" w:type="dxa"/>
            </w:tcMar>
            <w:vAlign w:val="top"/>
          </w:tcPr>
          <w:p>
            <w:pPr>
              <w:spacing w:after="20" w:before="20" w:line="264" w:lineRule="auto"/>
            </w:pPr>
            <w:r>
              <w:rPr>
                <w:rFonts w:ascii="Times New Roman" w:hAnsi="Times New Roman"/>
                <w:b/>
                <w:color w:val="000000"/>
                <w:sz w:val="17"/>
              </w:rPr>
              <w:t>1. Position &amp; 5-Part Essay Structure</w:t>
            </w:r>
          </w:p>
        </w:tc>
        <w:tc>
          <w:tcPr>
            <w:tcW w:type="dxa" w:w="1512"/>
            <w:tcMar>
              <w:top w:w="100" w:type="dxa"/>
              <w:start w:w="80" w:type="dxa"/>
              <w:bottom w:w="100" w:type="dxa"/>
              <w:end w:w="80" w:type="dxa"/>
            </w:tcMar>
            <w:vAlign w:val="top"/>
          </w:tcPr>
          <w:p>
            <w:pPr>
              <w:spacing w:after="20" w:before="20" w:line="264" w:lineRule="auto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  <w:t>Antigravity</w:t>
            </w:r>
          </w:p>
        </w:tc>
        <w:tc>
          <w:tcPr>
            <w:tcW w:type="dxa" w:w="2520"/>
            <w:tcMar>
              <w:top w:w="100" w:type="dxa"/>
              <w:start w:w="80" w:type="dxa"/>
              <w:bottom w:w="100" w:type="dxa"/>
              <w:end w:w="80" w:type="dxa"/>
            </w:tcMar>
            <w:vAlign w:val="top"/>
          </w:tcPr>
          <w:p>
            <w:pPr>
              <w:spacing w:after="20" w:before="20" w:line="264" w:lineRule="auto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  <w:t>Brainstormed structural outline across Position, 3 Grounds, Counterargument, and Conclusion.</w:t>
            </w:r>
          </w:p>
        </w:tc>
        <w:tc>
          <w:tcPr>
            <w:tcW w:type="dxa" w:w="2952"/>
            <w:tcMar>
              <w:top w:w="100" w:type="dxa"/>
              <w:start w:w="80" w:type="dxa"/>
              <w:bottom w:w="100" w:type="dxa"/>
              <w:end w:w="80" w:type="dxa"/>
            </w:tcMar>
            <w:vAlign w:val="top"/>
          </w:tcPr>
          <w:p>
            <w:pPr>
              <w:spacing w:after="20" w:before="20" w:line="264" w:lineRule="auto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  <w:t>Checked every section requirement and word limit against the official BA2026 Assignment 4 Brief.</w:t>
            </w:r>
          </w:p>
        </w:tc>
        <w:tc>
          <w:tcPr>
            <w:tcW w:type="dxa" w:w="2592"/>
            <w:tcMar>
              <w:top w:w="100" w:type="dxa"/>
              <w:start w:w="80" w:type="dxa"/>
              <w:bottom w:w="100" w:type="dxa"/>
              <w:end w:w="80" w:type="dxa"/>
            </w:tcMar>
            <w:vAlign w:val="top"/>
          </w:tcPr>
          <w:p>
            <w:pPr>
              <w:spacing w:after="20" w:before="20" w:line="264" w:lineRule="auto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  <w:t>Replaced generic global graduate claims with an explicit qualified position anchored in AB Auto vs. Interkom-Auto in Kazakhstan.</w:t>
            </w:r>
          </w:p>
        </w:tc>
      </w:tr>
      <w:tr>
        <w:trPr>
          <w:cantSplit/>
        </w:trPr>
        <w:tc>
          <w:tcPr>
            <w:tcW w:type="dxa" w:w="1944"/>
            <w:tcMar>
              <w:top w:w="100" w:type="dxa"/>
              <w:start w:w="80" w:type="dxa"/>
              <w:bottom w:w="100" w:type="dxa"/>
              <w:end w:w="80" w:type="dxa"/>
            </w:tcMar>
            <w:vAlign w:val="top"/>
          </w:tcPr>
          <w:p>
            <w:pPr>
              <w:spacing w:after="20" w:before="20" w:line="264" w:lineRule="auto"/>
            </w:pPr>
            <w:r>
              <w:rPr>
                <w:rFonts w:ascii="Times New Roman" w:hAnsi="Times New Roman"/>
                <w:b/>
                <w:color w:val="000000"/>
                <w:sz w:val="17"/>
              </w:rPr>
              <w:t>2. Week 8 Financial Ratio Discrepancy Audit</w:t>
            </w:r>
          </w:p>
        </w:tc>
        <w:tc>
          <w:tcPr>
            <w:tcW w:type="dxa" w:w="1512"/>
            <w:tcMar>
              <w:top w:w="100" w:type="dxa"/>
              <w:start w:w="80" w:type="dxa"/>
              <w:bottom w:w="100" w:type="dxa"/>
              <w:end w:w="80" w:type="dxa"/>
            </w:tcMar>
            <w:vAlign w:val="top"/>
          </w:tcPr>
          <w:p>
            <w:pPr>
              <w:spacing w:after="20" w:before="20" w:line="264" w:lineRule="auto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  <w:t>GPT-4o</w:t>
            </w:r>
          </w:p>
        </w:tc>
        <w:tc>
          <w:tcPr>
            <w:tcW w:type="dxa" w:w="2520"/>
            <w:tcMar>
              <w:top w:w="100" w:type="dxa"/>
              <w:start w:w="80" w:type="dxa"/>
              <w:bottom w:w="100" w:type="dxa"/>
              <w:end w:w="80" w:type="dxa"/>
            </w:tcMar>
            <w:vAlign w:val="top"/>
          </w:tcPr>
          <w:p>
            <w:pPr>
              <w:spacing w:after="20" w:before="20" w:line="264" w:lineRule="auto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  <w:t>Requested raw financial health diagnosis from AB Auto's 4 ratios (2.33x, 0.44x, 7.0%, 0.79x).</w:t>
            </w:r>
          </w:p>
        </w:tc>
        <w:tc>
          <w:tcPr>
            <w:tcW w:type="dxa" w:w="2952"/>
            <w:tcMar>
              <w:top w:w="100" w:type="dxa"/>
              <w:start w:w="80" w:type="dxa"/>
              <w:bottom w:w="100" w:type="dxa"/>
              <w:end w:w="80" w:type="dxa"/>
            </w:tcMar>
            <w:vAlign w:val="top"/>
          </w:tcPr>
          <w:p>
            <w:pPr>
              <w:spacing w:after="20" w:before="20" w:line="264" w:lineRule="auto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  <w:t>Recomputed ratios in Excel (8.0M / 18.0M = 0.44x) and audited daily cash inflows in ABPos Kaspi QR logs (&gt;3.0M KZT/day).</w:t>
            </w:r>
          </w:p>
        </w:tc>
        <w:tc>
          <w:tcPr>
            <w:tcW w:type="dxa" w:w="2592"/>
            <w:tcMar>
              <w:top w:w="100" w:type="dxa"/>
              <w:start w:w="80" w:type="dxa"/>
              <w:bottom w:w="100" w:type="dxa"/>
              <w:end w:w="80" w:type="dxa"/>
            </w:tcMar>
            <w:vAlign w:val="top"/>
          </w:tcPr>
          <w:p>
            <w:pPr>
              <w:spacing w:after="20" w:before="20" w:line="264" w:lineRule="auto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  <w:t>Rejected GPT-4o's diagnosis of imminent bankruptcy/default on Acid-Test 0.44x; corrected 7.0% net margin context to reflect the 3% Simplified Tax Regime (Art. 683).</w:t>
            </w:r>
          </w:p>
        </w:tc>
      </w:tr>
      <w:tr>
        <w:trPr>
          <w:cantSplit/>
        </w:trPr>
        <w:tc>
          <w:tcPr>
            <w:tcW w:type="dxa" w:w="1944"/>
            <w:tcMar>
              <w:top w:w="100" w:type="dxa"/>
              <w:start w:w="80" w:type="dxa"/>
              <w:bottom w:w="100" w:type="dxa"/>
              <w:end w:w="80" w:type="dxa"/>
            </w:tcMar>
            <w:vAlign w:val="top"/>
          </w:tcPr>
          <w:p>
            <w:pPr>
              <w:spacing w:after="20" w:before="20" w:line="264" w:lineRule="auto"/>
            </w:pPr>
            <w:r>
              <w:rPr>
                <w:rFonts w:ascii="Times New Roman" w:hAnsi="Times New Roman"/>
                <w:b/>
                <w:color w:val="000000"/>
                <w:sz w:val="17"/>
              </w:rPr>
              <w:t>3. Week 9 Capability &amp; Workforce Mapping</w:t>
            </w:r>
          </w:p>
        </w:tc>
        <w:tc>
          <w:tcPr>
            <w:tcW w:type="dxa" w:w="1512"/>
            <w:tcMar>
              <w:top w:w="100" w:type="dxa"/>
              <w:start w:w="80" w:type="dxa"/>
              <w:bottom w:w="100" w:type="dxa"/>
              <w:end w:w="80" w:type="dxa"/>
            </w:tcMar>
            <w:vAlign w:val="top"/>
          </w:tcPr>
          <w:p>
            <w:pPr>
              <w:spacing w:after="20" w:before="20" w:line="264" w:lineRule="auto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  <w:t>Antigravity</w:t>
            </w:r>
          </w:p>
        </w:tc>
        <w:tc>
          <w:tcPr>
            <w:tcW w:type="dxa" w:w="2520"/>
            <w:tcMar>
              <w:top w:w="100" w:type="dxa"/>
              <w:start w:w="80" w:type="dxa"/>
              <w:bottom w:w="100" w:type="dxa"/>
              <w:end w:w="80" w:type="dxa"/>
            </w:tcMar>
            <w:vAlign w:val="top"/>
          </w:tcPr>
          <w:p>
            <w:pPr>
              <w:spacing w:after="20" w:before="20" w:line="264" w:lineRule="auto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  <w:t>Mapped Human, Business, Digital, and Meta-capabilities to Week 4 operational tasks.</w:t>
            </w:r>
          </w:p>
        </w:tc>
        <w:tc>
          <w:tcPr>
            <w:tcW w:type="dxa" w:w="2952"/>
            <w:tcMar>
              <w:top w:w="100" w:type="dxa"/>
              <w:start w:w="80" w:type="dxa"/>
              <w:bottom w:w="100" w:type="dxa"/>
              <w:end w:w="80" w:type="dxa"/>
            </w:tcMar>
            <w:vAlign w:val="top"/>
          </w:tcPr>
          <w:p>
            <w:pPr>
              <w:spacing w:after="20" w:before="20" w:line="264" w:lineRule="auto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  <w:t>Verified operational bottlenecks against Koktal 15B &amp; Abylai Khan 62 logs (35-min phone lookup eliminated by ABPos).</w:t>
            </w:r>
          </w:p>
        </w:tc>
        <w:tc>
          <w:tcPr>
            <w:tcW w:type="dxa" w:w="2592"/>
            <w:tcMar>
              <w:top w:w="100" w:type="dxa"/>
              <w:start w:w="80" w:type="dxa"/>
              <w:bottom w:w="100" w:type="dxa"/>
              <w:end w:w="80" w:type="dxa"/>
            </w:tcMar>
            <w:vAlign w:val="top"/>
          </w:tcPr>
          <w:p>
            <w:pPr>
              <w:spacing w:after="20" w:before="20" w:line="264" w:lineRule="auto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  <w:t>Grounded abstract HR labels in AB Auto duties: STO informal debt-ledger negotiation, &gt;=18% gross margin floor control, and &lt;2 min tactile part checks.</w:t>
            </w:r>
          </w:p>
        </w:tc>
      </w:tr>
      <w:tr>
        <w:trPr>
          <w:cantSplit/>
        </w:trPr>
        <w:tc>
          <w:tcPr>
            <w:tcW w:type="dxa" w:w="1944"/>
            <w:tcMar>
              <w:top w:w="100" w:type="dxa"/>
              <w:start w:w="80" w:type="dxa"/>
              <w:bottom w:w="100" w:type="dxa"/>
              <w:end w:w="80" w:type="dxa"/>
            </w:tcMar>
            <w:vAlign w:val="top"/>
          </w:tcPr>
          <w:p>
            <w:pPr>
              <w:spacing w:after="20" w:before="20" w:line="264" w:lineRule="auto"/>
            </w:pPr>
            <w:r>
              <w:rPr>
                <w:rFonts w:ascii="Times New Roman" w:hAnsi="Times New Roman"/>
                <w:b/>
                <w:color w:val="000000"/>
                <w:sz w:val="17"/>
              </w:rPr>
              <w:t>4. Company A vs. Company B Comparative Transfer</w:t>
            </w:r>
          </w:p>
        </w:tc>
        <w:tc>
          <w:tcPr>
            <w:tcW w:type="dxa" w:w="1512"/>
            <w:tcMar>
              <w:top w:w="100" w:type="dxa"/>
              <w:start w:w="80" w:type="dxa"/>
              <w:bottom w:w="100" w:type="dxa"/>
              <w:end w:w="80" w:type="dxa"/>
            </w:tcMar>
            <w:vAlign w:val="top"/>
          </w:tcPr>
          <w:p>
            <w:pPr>
              <w:spacing w:after="20" w:before="20" w:line="264" w:lineRule="auto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  <w:t>Antigravity / GPT-4o</w:t>
            </w:r>
          </w:p>
        </w:tc>
        <w:tc>
          <w:tcPr>
            <w:tcW w:type="dxa" w:w="2520"/>
            <w:tcMar>
              <w:top w:w="100" w:type="dxa"/>
              <w:start w:w="80" w:type="dxa"/>
              <w:bottom w:w="100" w:type="dxa"/>
              <w:end w:w="80" w:type="dxa"/>
            </w:tcMar>
            <w:vAlign w:val="top"/>
          </w:tcPr>
          <w:p>
            <w:pPr>
              <w:spacing w:after="20" w:before="20" w:line="264" w:lineRule="auto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  <w:t>Tested comparative phrasing contrasting decentralized SMEs with Tier-1 corporate distributors.</w:t>
            </w:r>
          </w:p>
        </w:tc>
        <w:tc>
          <w:tcPr>
            <w:tcW w:type="dxa" w:w="2952"/>
            <w:tcMar>
              <w:top w:w="100" w:type="dxa"/>
              <w:start w:w="80" w:type="dxa"/>
              <w:bottom w:w="100" w:type="dxa"/>
              <w:end w:w="80" w:type="dxa"/>
            </w:tcMar>
            <w:vAlign w:val="top"/>
          </w:tcPr>
          <w:p>
            <w:pPr>
              <w:spacing w:after="20" w:before="20" w:line="264" w:lineRule="auto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  <w:t>Verified RK Tax Code Art. 683 limits (Law No. 120-VI) and Interkom-Auto TOO General Tax Regime disclosures (12% VAT, &gt;1.3B KZT taxpayer).</w:t>
            </w:r>
          </w:p>
        </w:tc>
        <w:tc>
          <w:tcPr>
            <w:tcW w:type="dxa" w:w="2592"/>
            <w:tcMar>
              <w:top w:w="100" w:type="dxa"/>
              <w:start w:w="80" w:type="dxa"/>
              <w:bottom w:w="100" w:type="dxa"/>
              <w:end w:w="80" w:type="dxa"/>
            </w:tcMar>
            <w:vAlign w:val="top"/>
          </w:tcPr>
          <w:p>
            <w:pPr>
              <w:spacing w:after="20" w:before="20" w:line="264" w:lineRule="auto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  <w:t>Rejected AI suggestion that AB Auto adopt Interkom-Auto's automated ERP credit scoring, which would sever unrecorded B2B STO mechanic trust contracts.</w:t>
            </w:r>
          </w:p>
        </w:tc>
      </w:tr>
      <w:tr>
        <w:trPr>
          <w:cantSplit/>
        </w:trPr>
        <w:tc>
          <w:tcPr>
            <w:tcW w:type="dxa" w:w="1944"/>
            <w:tcMar>
              <w:top w:w="100" w:type="dxa"/>
              <w:start w:w="80" w:type="dxa"/>
              <w:bottom w:w="100" w:type="dxa"/>
              <w:end w:w="80" w:type="dxa"/>
            </w:tcMar>
            <w:vAlign w:val="top"/>
          </w:tcPr>
          <w:p>
            <w:pPr>
              <w:spacing w:after="20" w:before="20" w:line="264" w:lineRule="auto"/>
            </w:pPr>
            <w:r>
              <w:rPr>
                <w:rFonts w:ascii="Times New Roman" w:hAnsi="Times New Roman"/>
                <w:b/>
                <w:color w:val="000000"/>
                <w:sz w:val="17"/>
              </w:rPr>
              <w:t>5. Counterargument &amp; Refutation Stress Test</w:t>
            </w:r>
          </w:p>
        </w:tc>
        <w:tc>
          <w:tcPr>
            <w:tcW w:type="dxa" w:w="1512"/>
            <w:tcMar>
              <w:top w:w="100" w:type="dxa"/>
              <w:start w:w="80" w:type="dxa"/>
              <w:bottom w:w="100" w:type="dxa"/>
              <w:end w:w="80" w:type="dxa"/>
            </w:tcMar>
            <w:vAlign w:val="top"/>
          </w:tcPr>
          <w:p>
            <w:pPr>
              <w:spacing w:after="20" w:before="20" w:line="264" w:lineRule="auto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  <w:t>Claude 3.5 Sonnet</w:t>
            </w:r>
          </w:p>
        </w:tc>
        <w:tc>
          <w:tcPr>
            <w:tcW w:type="dxa" w:w="2520"/>
            <w:tcMar>
              <w:top w:w="100" w:type="dxa"/>
              <w:start w:w="80" w:type="dxa"/>
              <w:bottom w:w="100" w:type="dxa"/>
              <w:end w:w="80" w:type="dxa"/>
            </w:tcMar>
            <w:vAlign w:val="top"/>
          </w:tcPr>
          <w:p>
            <w:pPr>
              <w:spacing w:after="20" w:before="20" w:line="264" w:lineRule="auto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  <w:t>Generated strongest opposing case on multimodal AI ERP suites replacing entry-level junior analysts.</w:t>
            </w:r>
          </w:p>
        </w:tc>
        <w:tc>
          <w:tcPr>
            <w:tcW w:type="dxa" w:w="2952"/>
            <w:tcMar>
              <w:top w:w="100" w:type="dxa"/>
              <w:start w:w="80" w:type="dxa"/>
              <w:bottom w:w="100" w:type="dxa"/>
              <w:end w:w="80" w:type="dxa"/>
            </w:tcMar>
            <w:vAlign w:val="top"/>
          </w:tcPr>
          <w:p>
            <w:pPr>
              <w:spacing w:after="20" w:before="20" w:line="264" w:lineRule="auto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  <w:t>Cross-checked task-displacement theory against Acemoglu &amp; Restrepo [8], Brynjolfsson &amp; McAfee [7], and RK fiduciary tax rules [3].</w:t>
            </w:r>
          </w:p>
        </w:tc>
        <w:tc>
          <w:tcPr>
            <w:tcW w:type="dxa" w:w="2592"/>
            <w:tcMar>
              <w:top w:w="100" w:type="dxa"/>
              <w:start w:w="80" w:type="dxa"/>
              <w:bottom w:w="100" w:type="dxa"/>
              <w:end w:w="80" w:type="dxa"/>
            </w:tcMar>
            <w:vAlign w:val="top"/>
          </w:tcPr>
          <w:p>
            <w:pPr>
              <w:spacing w:after="20" w:before="20" w:line="264" w:lineRule="auto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  <w:t>Retained steelman opposing case at full strength; authored refutation grounded in contextual blindness (0.44x false insolvency) and non-delegable legal liability.</w:t>
            </w:r>
          </w:p>
        </w:tc>
      </w:tr>
    </w:tbl>
    <w:p/>
    <w:p>
      <w:pPr>
        <w:pStyle w:val="Heading1"/>
      </w:pPr>
      <w:r>
        <w:t>D. Financial and argumentative verification</w:t>
      </w:r>
    </w:p>
    <w:p>
      <w:r>
        <w:rPr>
          <w:rFonts w:ascii="Times New Roman" w:hAnsi="Times New Roman" w:eastAsia="Times New Roman"/>
          <w:sz w:val="19"/>
        </w:rPr>
        <w:t>Use this table for AI-supported interpretation of financial ratios, organizational/career evidence, Company A / Company B comparison, or counterargument development.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  <w:cantSplit/>
          <w:tblHeader/>
        </w:trPr>
        <w:tc>
          <w:tcPr>
            <w:tcW w:type="dxa" w:w="2880"/>
            <w:shd w:fill="17365D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keepNext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6"/>
              </w:rPr>
              <w:t>Claim / figure / argument</w:t>
            </w:r>
          </w:p>
        </w:tc>
        <w:tc>
          <w:tcPr>
            <w:tcW w:type="dxa" w:w="2880"/>
            <w:shd w:fill="17365D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keepNext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6"/>
              </w:rPr>
              <w:t>Original evidence or source</w:t>
            </w:r>
          </w:p>
        </w:tc>
        <w:tc>
          <w:tcPr>
            <w:tcW w:type="dxa" w:w="2592"/>
            <w:shd w:fill="17365D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keepNext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6"/>
              </w:rPr>
              <w:t>Independent check performed</w:t>
            </w:r>
          </w:p>
        </w:tc>
        <w:tc>
          <w:tcPr>
            <w:tcW w:type="dxa" w:w="3024"/>
            <w:shd w:fill="17365D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keepNext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6"/>
              </w:rPr>
              <w:t>What I changed / retained and why</w:t>
            </w:r>
          </w:p>
        </w:tc>
      </w:tr>
      <w:tr>
        <w:trPr>
          <w:cantSplit/>
        </w:trPr>
        <w:tc>
          <w:tcPr>
            <w:tcW w:type="dxa" w:w="2880"/>
            <w:tcMar>
              <w:top w:w="100" w:type="dxa"/>
              <w:start w:w="80" w:type="dxa"/>
              <w:bottom w:w="100" w:type="dxa"/>
              <w:end w:w="80" w:type="dxa"/>
            </w:tcMar>
            <w:vAlign w:val="top"/>
          </w:tcPr>
          <w:p>
            <w:pPr>
              <w:spacing w:after="20" w:before="20" w:line="264" w:lineRule="auto"/>
            </w:pPr>
            <w:r>
              <w:rPr>
                <w:rFonts w:ascii="Times New Roman" w:hAnsi="Times New Roman"/>
                <w:b/>
                <w:color w:val="000000"/>
                <w:sz w:val="17"/>
              </w:rPr>
              <w:t>Acid-Test 0.44x reflects strategic inventory + cash velocity, not insolvency</w:t>
            </w:r>
          </w:p>
        </w:tc>
        <w:tc>
          <w:tcPr>
            <w:tcW w:type="dxa" w:w="2880"/>
            <w:tcMar>
              <w:top w:w="100" w:type="dxa"/>
              <w:start w:w="80" w:type="dxa"/>
              <w:bottom w:w="100" w:type="dxa"/>
              <w:end w:w="80" w:type="dxa"/>
            </w:tcMar>
            <w:vAlign w:val="top"/>
          </w:tcPr>
          <w:p>
            <w:pPr>
              <w:spacing w:after="20" w:before="20" w:line="264" w:lineRule="auto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  <w:t>AB Auto Q3–Q4 management accounts &amp; ABPos Kaspi QR logs [5]</w:t>
            </w:r>
          </w:p>
        </w:tc>
        <w:tc>
          <w:tcPr>
            <w:tcW w:type="dxa" w:w="2592"/>
            <w:tcMar>
              <w:top w:w="100" w:type="dxa"/>
              <w:start w:w="80" w:type="dxa"/>
              <w:bottom w:w="100" w:type="dxa"/>
              <w:end w:w="80" w:type="dxa"/>
            </w:tcMar>
            <w:vAlign w:val="top"/>
          </w:tcPr>
          <w:p>
            <w:pPr>
              <w:spacing w:after="20" w:before="20" w:line="264" w:lineRule="auto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  <w:t>Verified (42.0M - 34.0M) / 18.0M = 0.44x; audited daily Kaspi QR inflows (&gt;3.0M KZT/day) vs. 30–45 day EAEU vendor terms.</w:t>
            </w:r>
          </w:p>
        </w:tc>
        <w:tc>
          <w:tcPr>
            <w:tcW w:type="dxa" w:w="3024"/>
            <w:tcMar>
              <w:top w:w="100" w:type="dxa"/>
              <w:start w:w="80" w:type="dxa"/>
              <w:bottom w:w="100" w:type="dxa"/>
              <w:end w:w="80" w:type="dxa"/>
            </w:tcMar>
            <w:vAlign w:val="top"/>
          </w:tcPr>
          <w:p>
            <w:pPr>
              <w:spacing w:after="20" w:before="20" w:line="264" w:lineRule="auto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  <w:t>Retained 0.44x ratio; rejected AI default warning and featured this discrepancy as primary Ground 1 evidence.</w:t>
            </w:r>
          </w:p>
        </w:tc>
      </w:tr>
      <w:tr>
        <w:trPr>
          <w:cantSplit/>
        </w:trPr>
        <w:tc>
          <w:tcPr>
            <w:tcW w:type="dxa" w:w="2880"/>
            <w:tcMar>
              <w:top w:w="100" w:type="dxa"/>
              <w:start w:w="80" w:type="dxa"/>
              <w:bottom w:w="100" w:type="dxa"/>
              <w:end w:w="80" w:type="dxa"/>
            </w:tcMar>
            <w:vAlign w:val="top"/>
          </w:tcPr>
          <w:p>
            <w:pPr>
              <w:spacing w:after="20" w:before="20" w:line="264" w:lineRule="auto"/>
            </w:pPr>
            <w:r>
              <w:rPr>
                <w:rFonts w:ascii="Times New Roman" w:hAnsi="Times New Roman"/>
                <w:b/>
                <w:color w:val="000000"/>
                <w:sz w:val="17"/>
              </w:rPr>
              <w:t>Net Profit Margin 7.0% (26.88M / 384.0M KZT) under 3% Simplified Tax</w:t>
            </w:r>
          </w:p>
        </w:tc>
        <w:tc>
          <w:tcPr>
            <w:tcW w:type="dxa" w:w="2880"/>
            <w:tcMar>
              <w:top w:w="100" w:type="dxa"/>
              <w:start w:w="80" w:type="dxa"/>
              <w:bottom w:w="100" w:type="dxa"/>
              <w:end w:w="80" w:type="dxa"/>
            </w:tcMar>
            <w:vAlign w:val="top"/>
          </w:tcPr>
          <w:p>
            <w:pPr>
              <w:spacing w:after="20" w:before="20" w:line="264" w:lineRule="auto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  <w:t>AB Auto 2026 accounts [5] &amp; RK Tax Code Art. 683 [3]</w:t>
            </w:r>
          </w:p>
        </w:tc>
        <w:tc>
          <w:tcPr>
            <w:tcW w:type="dxa" w:w="2592"/>
            <w:tcMar>
              <w:top w:w="100" w:type="dxa"/>
              <w:start w:w="80" w:type="dxa"/>
              <w:bottom w:w="100" w:type="dxa"/>
              <w:end w:w="80" w:type="dxa"/>
            </w:tcMar>
            <w:vAlign w:val="top"/>
          </w:tcPr>
          <w:p>
            <w:pPr>
              <w:spacing w:after="20" w:before="20" w:line="264" w:lineRule="auto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  <w:t>Verified 26.88 / 384.0 = 7.00%, 4-IP turnover allocation under Art. 683, and owner's &gt;=18% gross margin floor.</w:t>
            </w:r>
          </w:p>
        </w:tc>
        <w:tc>
          <w:tcPr>
            <w:tcW w:type="dxa" w:w="3024"/>
            <w:tcMar>
              <w:top w:w="100" w:type="dxa"/>
              <w:start w:w="80" w:type="dxa"/>
              <w:bottom w:w="100" w:type="dxa"/>
              <w:end w:w="80" w:type="dxa"/>
            </w:tcMar>
            <w:vAlign w:val="top"/>
          </w:tcPr>
          <w:p>
            <w:pPr>
              <w:spacing w:after="20" w:before="20" w:line="264" w:lineRule="auto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  <w:t>Corrected AI's erroneous 20% CIT / 12% VAT assumption; retained 7.0% as resilient SME net profitability.</w:t>
            </w:r>
          </w:p>
        </w:tc>
      </w:tr>
      <w:tr>
        <w:trPr>
          <w:cantSplit/>
        </w:trPr>
        <w:tc>
          <w:tcPr>
            <w:tcW w:type="dxa" w:w="2880"/>
            <w:tcMar>
              <w:top w:w="100" w:type="dxa"/>
              <w:start w:w="80" w:type="dxa"/>
              <w:bottom w:w="100" w:type="dxa"/>
              <w:end w:w="80" w:type="dxa"/>
            </w:tcMar>
            <w:vAlign w:val="top"/>
          </w:tcPr>
          <w:p>
            <w:pPr>
              <w:spacing w:after="20" w:before="20" w:line="264" w:lineRule="auto"/>
            </w:pPr>
            <w:r>
              <w:rPr>
                <w:rFonts w:ascii="Times New Roman" w:hAnsi="Times New Roman"/>
                <w:b/>
                <w:color w:val="000000"/>
                <w:sz w:val="17"/>
              </w:rPr>
              <w:t>ABPos digitalization shifts graduate value from clerical lookup to governance</w:t>
            </w:r>
          </w:p>
        </w:tc>
        <w:tc>
          <w:tcPr>
            <w:tcW w:type="dxa" w:w="2880"/>
            <w:tcMar>
              <w:top w:w="100" w:type="dxa"/>
              <w:start w:w="80" w:type="dxa"/>
              <w:bottom w:w="100" w:type="dxa"/>
              <w:end w:w="80" w:type="dxa"/>
            </w:tcMar>
            <w:vAlign w:val="top"/>
          </w:tcPr>
          <w:p>
            <w:pPr>
              <w:spacing w:after="20" w:before="20" w:line="264" w:lineRule="auto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  <w:t>Week 4 Operating Model, Week 9 Capability Portfolio &amp; ABPos logs [5]</w:t>
            </w:r>
          </w:p>
        </w:tc>
        <w:tc>
          <w:tcPr>
            <w:tcW w:type="dxa" w:w="2592"/>
            <w:tcMar>
              <w:top w:w="100" w:type="dxa"/>
              <w:start w:w="80" w:type="dxa"/>
              <w:bottom w:w="100" w:type="dxa"/>
              <w:end w:w="80" w:type="dxa"/>
            </w:tcMar>
            <w:vAlign w:val="top"/>
          </w:tcPr>
          <w:p>
            <w:pPr>
              <w:spacing w:after="20" w:before="20" w:line="264" w:lineRule="auto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  <w:t>Confirmed elimination of 35-min cross-hub phone calls between Koktal 15B and Abylai Khan 62.</w:t>
            </w:r>
          </w:p>
        </w:tc>
        <w:tc>
          <w:tcPr>
            <w:tcW w:type="dxa" w:w="3024"/>
            <w:tcMar>
              <w:top w:w="100" w:type="dxa"/>
              <w:start w:w="80" w:type="dxa"/>
              <w:bottom w:w="100" w:type="dxa"/>
              <w:end w:w="80" w:type="dxa"/>
            </w:tcMar>
            <w:vAlign w:val="top"/>
          </w:tcPr>
          <w:p>
            <w:pPr>
              <w:spacing w:after="20" w:before="20" w:line="264" w:lineRule="auto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  <w:t>Retained linkage showing graduate value migrates to STO relational credit chains and margin-floor enforcement.</w:t>
            </w:r>
          </w:p>
        </w:tc>
      </w:tr>
      <w:tr>
        <w:trPr>
          <w:cantSplit/>
        </w:trPr>
        <w:tc>
          <w:tcPr>
            <w:tcW w:type="dxa" w:w="2880"/>
            <w:tcMar>
              <w:top w:w="100" w:type="dxa"/>
              <w:start w:w="80" w:type="dxa"/>
              <w:bottom w:w="100" w:type="dxa"/>
              <w:end w:w="80" w:type="dxa"/>
            </w:tcMar>
            <w:vAlign w:val="top"/>
          </w:tcPr>
          <w:p>
            <w:pPr>
              <w:spacing w:after="20" w:before="20" w:line="264" w:lineRule="auto"/>
            </w:pPr>
            <w:r>
              <w:rPr>
                <w:rFonts w:ascii="Times New Roman" w:hAnsi="Times New Roman"/>
                <w:b/>
                <w:color w:val="000000"/>
                <w:sz w:val="17"/>
              </w:rPr>
              <w:t>Corporate AI cannot price informal Kazakhstan B2B trade credit</w:t>
            </w:r>
          </w:p>
        </w:tc>
        <w:tc>
          <w:tcPr>
            <w:tcW w:type="dxa" w:w="2880"/>
            <w:tcMar>
              <w:top w:w="100" w:type="dxa"/>
              <w:start w:w="80" w:type="dxa"/>
              <w:bottom w:w="100" w:type="dxa"/>
              <w:end w:w="80" w:type="dxa"/>
            </w:tcMar>
            <w:vAlign w:val="top"/>
          </w:tcPr>
          <w:p>
            <w:pPr>
              <w:spacing w:after="20" w:before="20" w:line="264" w:lineRule="auto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  <w:t>RK Tax Code Art. 683 [3], BNS Astana SME data [4], Interkom-Auto report [6]</w:t>
            </w:r>
          </w:p>
        </w:tc>
        <w:tc>
          <w:tcPr>
            <w:tcW w:type="dxa" w:w="2592"/>
            <w:tcMar>
              <w:top w:w="100" w:type="dxa"/>
              <w:start w:w="80" w:type="dxa"/>
              <w:bottom w:w="100" w:type="dxa"/>
              <w:end w:w="80" w:type="dxa"/>
            </w:tcMar>
            <w:vAlign w:val="top"/>
          </w:tcPr>
          <w:p>
            <w:pPr>
              <w:spacing w:after="20" w:before="20" w:line="264" w:lineRule="auto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  <w:t>Compared AB Auto (4 IPs, 3% tax, informal STO ledgers) vs. Interkom-Auto (TOO, 12% VAT, &gt;1.3B KZT taxpayer).</w:t>
            </w:r>
          </w:p>
        </w:tc>
        <w:tc>
          <w:tcPr>
            <w:tcW w:type="dxa" w:w="3024"/>
            <w:tcMar>
              <w:top w:w="100" w:type="dxa"/>
              <w:start w:w="80" w:type="dxa"/>
              <w:bottom w:w="100" w:type="dxa"/>
              <w:end w:w="80" w:type="dxa"/>
            </w:tcMar>
            <w:vAlign w:val="top"/>
          </w:tcPr>
          <w:p>
            <w:pPr>
              <w:spacing w:after="20" w:before="20" w:line="264" w:lineRule="auto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  <w:t>Retained Ground 3 institutional transfer argument specific to Kazakhstan's emerging SME market.</w:t>
            </w:r>
          </w:p>
        </w:tc>
      </w:tr>
      <w:tr>
        <w:trPr>
          <w:cantSplit/>
        </w:trPr>
        <w:tc>
          <w:tcPr>
            <w:tcW w:type="dxa" w:w="2880"/>
            <w:tcMar>
              <w:top w:w="100" w:type="dxa"/>
              <w:start w:w="80" w:type="dxa"/>
              <w:bottom w:w="100" w:type="dxa"/>
              <w:end w:w="80" w:type="dxa"/>
            </w:tcMar>
            <w:vAlign w:val="top"/>
          </w:tcPr>
          <w:p>
            <w:pPr>
              <w:spacing w:after="20" w:before="20" w:line="264" w:lineRule="auto"/>
            </w:pPr>
            <w:r>
              <w:rPr>
                <w:rFonts w:ascii="Times New Roman" w:hAnsi="Times New Roman"/>
                <w:b/>
                <w:color w:val="000000"/>
                <w:sz w:val="17"/>
              </w:rPr>
              <w:t>Autonomous multimodal AI ERP compresses junior analyst tasks</w:t>
            </w:r>
          </w:p>
        </w:tc>
        <w:tc>
          <w:tcPr>
            <w:tcW w:type="dxa" w:w="2880"/>
            <w:tcMar>
              <w:top w:w="100" w:type="dxa"/>
              <w:start w:w="80" w:type="dxa"/>
              <w:bottom w:w="100" w:type="dxa"/>
              <w:end w:w="80" w:type="dxa"/>
            </w:tcMar>
            <w:vAlign w:val="top"/>
          </w:tcPr>
          <w:p>
            <w:pPr>
              <w:spacing w:after="20" w:before="20" w:line="264" w:lineRule="auto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  <w:t>Brynjolfsson &amp; McAfee [7]; Acemoglu &amp; Restrepo [8]</w:t>
            </w:r>
          </w:p>
        </w:tc>
        <w:tc>
          <w:tcPr>
            <w:tcW w:type="dxa" w:w="2592"/>
            <w:tcMar>
              <w:top w:w="100" w:type="dxa"/>
              <w:start w:w="80" w:type="dxa"/>
              <w:bottom w:w="100" w:type="dxa"/>
              <w:end w:w="80" w:type="dxa"/>
            </w:tcMar>
            <w:vAlign w:val="top"/>
          </w:tcPr>
          <w:p>
            <w:pPr>
              <w:spacing w:after="20" w:before="20" w:line="264" w:lineRule="auto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  <w:t>Verified task-automation mechanisms in economic literature and tested against RK statutory tax/banking liability rules.</w:t>
            </w:r>
          </w:p>
        </w:tc>
        <w:tc>
          <w:tcPr>
            <w:tcW w:type="dxa" w:w="3024"/>
            <w:tcMar>
              <w:top w:w="100" w:type="dxa"/>
              <w:start w:w="80" w:type="dxa"/>
              <w:bottom w:w="100" w:type="dxa"/>
              <w:end w:w="80" w:type="dxa"/>
            </w:tcMar>
            <w:vAlign w:val="top"/>
          </w:tcPr>
          <w:p>
            <w:pPr>
              <w:spacing w:after="20" w:before="20" w:line="264" w:lineRule="auto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  <w:t>Stated opposing case at full strength; refuted via algorithmic contextual blindness and lack of legal personhood.</w:t>
            </w:r>
          </w:p>
        </w:tc>
      </w:tr>
    </w:tbl>
    <w:p/>
    <w:p>
      <w:pPr>
        <w:pStyle w:val="Heading1"/>
      </w:pPr>
      <w:r>
        <w:t>E. Counterargument integrity check</w:t>
      </w:r>
    </w:p>
    <w:p>
      <w:pPr>
        <w:pStyle w:val="FormLabel"/>
      </w:pPr>
      <w:r>
        <w:t>If AI helped generate or test a counterargument, state how you ensured the opposing case was fair rather than a straw argument:</w:t>
      </w:r>
    </w:p>
    <w:p>
      <w:pPr>
        <w:spacing w:after="120" w:line="269" w:lineRule="auto" w:before="40"/>
      </w:pPr>
      <w:r>
        <w:rPr>
          <w:rFonts w:ascii="Times New Roman" w:hAnsi="Times New Roman"/>
          <w:b w:val="0"/>
          <w:color w:val="0F172A"/>
          <w:sz w:val="19"/>
        </w:rPr>
        <w:t>Answer: Rather than setting up a weak strawman (such as claiming AI makes basic arithmetic errors), I prompted Claude 3.5 Sonnet to argue from the perspective of an enterprise ERP automation economist citing Acemoglu &amp; Restrepo [8] and Brynjolfsson &amp; McAfee [7]. I stated the strongest structural critique directly in Section 5: multimodal AI ERP agents now automate primary invoice auditing, statement interpretation, and variance reporting—the exact tasks that historically justified entry-level junior analyst headcount and wages.</w:t>
      </w:r>
    </w:p>
    <w:p>
      <w:pPr>
        <w:pStyle w:val="FormLabel"/>
      </w:pPr>
      <w:r>
        <w:t>What evidence ultimately determined your answer to the counterargument:</w:t>
      </w:r>
    </w:p>
    <w:p>
      <w:pPr>
        <w:spacing w:after="120" w:line="269" w:lineRule="auto" w:before="40"/>
      </w:pPr>
      <w:r>
        <w:rPr>
          <w:rFonts w:ascii="Times New Roman" w:hAnsi="Times New Roman"/>
          <w:b w:val="0"/>
          <w:color w:val="0F172A"/>
          <w:sz w:val="19"/>
        </w:rPr>
        <w:t>Answer: Two empirical findings from AB Auto determined my refutation: (1) Contextual blindness proven in Week 8, where AI misdiagnosed AB Auto's 0.44x Acid-Test ratio as imminent insolvency because it could not observe &gt;3.0M KZT/day Kaspi QR cash velocity or 34.0M KZT strategic GAZelle buffer stock (an autonomous freeze would sever 45% of B2B STO revenue) [5]; and (2) Statutory non-delegability, as AI lacks legal personhood to bear fiduciary liability before Kazakhstan's State Revenue Committee (Art. 683) or commercial banks [1], [3].</w:t>
      </w:r>
    </w:p>
    <w:p>
      <w:pPr>
        <w:pStyle w:val="Heading1"/>
      </w:pPr>
      <w:r>
        <w:t>F. Week 8 quantitative evidence verification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  <w:cantSplit/>
          <w:tblHeader/>
        </w:trPr>
        <w:tc>
          <w:tcPr>
            <w:tcW w:type="dxa" w:w="2448"/>
            <w:shd w:fill="17365D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keepNext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6"/>
              </w:rPr>
              <w:t>Ratio / financial figure used</w:t>
            </w:r>
          </w:p>
        </w:tc>
        <w:tc>
          <w:tcPr>
            <w:tcW w:type="dxa" w:w="2880"/>
            <w:shd w:fill="17365D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keepNext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6"/>
              </w:rPr>
              <w:t>My own calculation / source</w:t>
            </w:r>
          </w:p>
        </w:tc>
        <w:tc>
          <w:tcPr>
            <w:tcW w:type="dxa" w:w="2880"/>
            <w:shd w:fill="17365D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keepNext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6"/>
              </w:rPr>
              <w:t>AI-supported interpretation (if any)</w:t>
            </w:r>
          </w:p>
        </w:tc>
        <w:tc>
          <w:tcPr>
            <w:tcW w:type="dxa" w:w="3168"/>
            <w:shd w:fill="17365D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keepNext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6"/>
              </w:rPr>
              <w:t>Discrepancy found and how resolved</w:t>
            </w:r>
          </w:p>
        </w:tc>
      </w:tr>
      <w:tr>
        <w:trPr>
          <w:cantSplit/>
        </w:trPr>
        <w:tc>
          <w:tcPr>
            <w:tcW w:type="dxa" w:w="2448"/>
            <w:tcMar>
              <w:top w:w="100" w:type="dxa"/>
              <w:start w:w="80" w:type="dxa"/>
              <w:bottom w:w="100" w:type="dxa"/>
              <w:end w:w="80" w:type="dxa"/>
            </w:tcMar>
            <w:vAlign w:val="top"/>
          </w:tcPr>
          <w:p>
            <w:pPr>
              <w:spacing w:after="20" w:before="20" w:line="264" w:lineRule="auto"/>
            </w:pPr>
            <w:r>
              <w:rPr>
                <w:rFonts w:ascii="Times New Roman" w:hAnsi="Times New Roman"/>
                <w:b/>
                <w:color w:val="000000"/>
                <w:sz w:val="17"/>
              </w:rPr>
              <w:t>Acid-Test (Quick) Ratio: 0.44x</w:t>
            </w:r>
          </w:p>
        </w:tc>
        <w:tc>
          <w:tcPr>
            <w:tcW w:type="dxa" w:w="2880"/>
            <w:tcMar>
              <w:top w:w="100" w:type="dxa"/>
              <w:start w:w="80" w:type="dxa"/>
              <w:bottom w:w="100" w:type="dxa"/>
              <w:end w:w="80" w:type="dxa"/>
            </w:tcMar>
            <w:vAlign w:val="top"/>
          </w:tcPr>
          <w:p>
            <w:pPr>
              <w:spacing w:after="20" w:before="20" w:line="264" w:lineRule="auto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  <w:t>Quick Assets 8.0M KZT (42.0M Current Assets - 34.0M Inventory) / Current Liabilities 18.0M KZT = 0.44x [5].</w:t>
            </w:r>
          </w:p>
        </w:tc>
        <w:tc>
          <w:tcPr>
            <w:tcW w:type="dxa" w:w="2880"/>
            <w:tcMar>
              <w:top w:w="100" w:type="dxa"/>
              <w:start w:w="80" w:type="dxa"/>
              <w:bottom w:w="100" w:type="dxa"/>
              <w:end w:w="80" w:type="dxa"/>
            </w:tcMar>
            <w:vAlign w:val="top"/>
          </w:tcPr>
          <w:p>
            <w:pPr>
              <w:spacing w:after="20" w:before="20" w:line="264" w:lineRule="auto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  <w:t>GPT-4o flagged 0.44x (&lt;1.0x benchmark) as acute liquidity distress, imminent technical default, and high bankruptcy risk.</w:t>
            </w:r>
          </w:p>
        </w:tc>
        <w:tc>
          <w:tcPr>
            <w:tcW w:type="dxa" w:w="3168"/>
            <w:tcMar>
              <w:top w:w="100" w:type="dxa"/>
              <w:start w:w="80" w:type="dxa"/>
              <w:bottom w:w="100" w:type="dxa"/>
              <w:end w:w="80" w:type="dxa"/>
            </w:tcMar>
            <w:vAlign w:val="top"/>
          </w:tcPr>
          <w:p>
            <w:pPr>
              <w:spacing w:after="20" w:before="20" w:line="264" w:lineRule="auto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  <w:t>REJECTED AI bankruptcy diagnosis: verified &gt;3.0M KZT/day peak Kaspi QR cash turnover in ABPos settling 30–45 day vendor payables without cash gaps.</w:t>
            </w:r>
          </w:p>
        </w:tc>
      </w:tr>
      <w:tr>
        <w:trPr>
          <w:cantSplit/>
        </w:trPr>
        <w:tc>
          <w:tcPr>
            <w:tcW w:type="dxa" w:w="2448"/>
            <w:tcMar>
              <w:top w:w="100" w:type="dxa"/>
              <w:start w:w="80" w:type="dxa"/>
              <w:bottom w:w="100" w:type="dxa"/>
              <w:end w:w="80" w:type="dxa"/>
            </w:tcMar>
            <w:vAlign w:val="top"/>
          </w:tcPr>
          <w:p>
            <w:pPr>
              <w:spacing w:after="20" w:before="20" w:line="264" w:lineRule="auto"/>
            </w:pPr>
            <w:r>
              <w:rPr>
                <w:rFonts w:ascii="Times New Roman" w:hAnsi="Times New Roman"/>
                <w:b/>
                <w:color w:val="000000"/>
                <w:sz w:val="17"/>
              </w:rPr>
              <w:t>Current Ratio: 2.33x</w:t>
            </w:r>
          </w:p>
        </w:tc>
        <w:tc>
          <w:tcPr>
            <w:tcW w:type="dxa" w:w="2880"/>
            <w:tcMar>
              <w:top w:w="100" w:type="dxa"/>
              <w:start w:w="80" w:type="dxa"/>
              <w:bottom w:w="100" w:type="dxa"/>
              <w:end w:w="80" w:type="dxa"/>
            </w:tcMar>
            <w:vAlign w:val="top"/>
          </w:tcPr>
          <w:p>
            <w:pPr>
              <w:spacing w:after="20" w:before="20" w:line="264" w:lineRule="auto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  <w:t>Current Assets 42.0M KZT / Current Liabilities 18.0M KZT = 2.33x [5].</w:t>
            </w:r>
          </w:p>
        </w:tc>
        <w:tc>
          <w:tcPr>
            <w:tcW w:type="dxa" w:w="2880"/>
            <w:tcMar>
              <w:top w:w="100" w:type="dxa"/>
              <w:start w:w="80" w:type="dxa"/>
              <w:bottom w:w="100" w:type="dxa"/>
              <w:end w:w="80" w:type="dxa"/>
            </w:tcMar>
            <w:vAlign w:val="top"/>
          </w:tcPr>
          <w:p>
            <w:pPr>
              <w:spacing w:after="20" w:before="20" w:line="264" w:lineRule="auto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  <w:t>GPT-4o diagnosed comfortable excess liquidity and idle working capital above the 2.0x textbook threshold.</w:t>
            </w:r>
          </w:p>
        </w:tc>
        <w:tc>
          <w:tcPr>
            <w:tcW w:type="dxa" w:w="3168"/>
            <w:tcMar>
              <w:top w:w="100" w:type="dxa"/>
              <w:start w:w="80" w:type="dxa"/>
              <w:bottom w:w="100" w:type="dxa"/>
              <w:end w:w="80" w:type="dxa"/>
            </w:tcMar>
            <w:vAlign w:val="top"/>
          </w:tcPr>
          <w:p>
            <w:pPr>
              <w:spacing w:after="20" w:before="20" w:line="264" w:lineRule="auto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  <w:t>CORRECTED interpretation: 80.95% (34.0M KZT) is physical GAZelle parts staged at Koktal 15B to hedge 1–3 day EAEU border transit delays, not idle cash.</w:t>
            </w:r>
          </w:p>
        </w:tc>
      </w:tr>
      <w:tr>
        <w:trPr>
          <w:cantSplit/>
        </w:trPr>
        <w:tc>
          <w:tcPr>
            <w:tcW w:type="dxa" w:w="2448"/>
            <w:tcMar>
              <w:top w:w="100" w:type="dxa"/>
              <w:start w:w="80" w:type="dxa"/>
              <w:bottom w:w="100" w:type="dxa"/>
              <w:end w:w="80" w:type="dxa"/>
            </w:tcMar>
            <w:vAlign w:val="top"/>
          </w:tcPr>
          <w:p>
            <w:pPr>
              <w:spacing w:after="20" w:before="20" w:line="264" w:lineRule="auto"/>
            </w:pPr>
            <w:r>
              <w:rPr>
                <w:rFonts w:ascii="Times New Roman" w:hAnsi="Times New Roman"/>
                <w:b/>
                <w:color w:val="000000"/>
                <w:sz w:val="17"/>
              </w:rPr>
              <w:t>Net Profit Margin: 7.00%</w:t>
            </w:r>
          </w:p>
        </w:tc>
        <w:tc>
          <w:tcPr>
            <w:tcW w:type="dxa" w:w="2880"/>
            <w:tcMar>
              <w:top w:w="100" w:type="dxa"/>
              <w:start w:w="80" w:type="dxa"/>
              <w:bottom w:w="100" w:type="dxa"/>
              <w:end w:w="80" w:type="dxa"/>
            </w:tcMar>
            <w:vAlign w:val="top"/>
          </w:tcPr>
          <w:p>
            <w:pPr>
              <w:spacing w:after="20" w:before="20" w:line="264" w:lineRule="auto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  <w:t>Annual Net Profit 26.88M KZT / Annual Sales 384.0M KZT = 7.00% [5].</w:t>
            </w:r>
          </w:p>
        </w:tc>
        <w:tc>
          <w:tcPr>
            <w:tcW w:type="dxa" w:w="2880"/>
            <w:tcMar>
              <w:top w:w="100" w:type="dxa"/>
              <w:start w:w="80" w:type="dxa"/>
              <w:bottom w:w="100" w:type="dxa"/>
              <w:end w:w="80" w:type="dxa"/>
            </w:tcMar>
            <w:vAlign w:val="top"/>
          </w:tcPr>
          <w:p>
            <w:pPr>
              <w:spacing w:after="20" w:before="20" w:line="264" w:lineRule="auto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  <w:t>GPT-4o judged 7.0% thin and vulnerable assuming standard 20% Corporate Income Tax and 12% VAT.</w:t>
            </w:r>
          </w:p>
        </w:tc>
        <w:tc>
          <w:tcPr>
            <w:tcW w:type="dxa" w:w="3168"/>
            <w:tcMar>
              <w:top w:w="100" w:type="dxa"/>
              <w:start w:w="80" w:type="dxa"/>
              <w:bottom w:w="100" w:type="dxa"/>
              <w:end w:w="80" w:type="dxa"/>
            </w:tcMar>
            <w:vAlign w:val="top"/>
          </w:tcPr>
          <w:p>
            <w:pPr>
              <w:spacing w:after="20" w:before="20" w:line="264" w:lineRule="auto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  <w:t>CORRECTED fiscal baseline: AB Auto operates across 4 IPs under Art. 683 (3% Simplified Tax, 0% VAT) with an owner-enforced &gt;=18% gross margin floor.</w:t>
            </w:r>
          </w:p>
        </w:tc>
      </w:tr>
      <w:tr>
        <w:trPr>
          <w:cantSplit/>
        </w:trPr>
        <w:tc>
          <w:tcPr>
            <w:tcW w:type="dxa" w:w="2556"/>
          </w:tcPr>
          <w:p>
            <w:pPr>
              <w:spacing w:before="20" w:after="20" w:line="264" w:lineRule="auto"/>
            </w:pPr>
            <w:r>
              <w:rPr>
                <w:rFonts w:ascii="Times New Roman" w:hAnsi="Times New Roman"/>
                <w:b/>
                <w:color w:val="000000"/>
                <w:sz w:val="17"/>
              </w:rPr>
              <w:t>Debt-to-Equity Ratio: 0.79x</w:t>
            </w:r>
          </w:p>
        </w:tc>
        <w:tc>
          <w:tcPr>
            <w:tcW w:type="dxa" w:w="2556"/>
          </w:tcPr>
          <w:p>
            <w:pPr>
              <w:spacing w:before="20" w:after="20" w:line="264" w:lineRule="auto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  <w:t>Total Liabilities 22.0M KZT / Owner's Equity 28.0M KZT = 0.79x [5].</w:t>
            </w:r>
          </w:p>
        </w:tc>
        <w:tc>
          <w:tcPr>
            <w:tcW w:type="dxa" w:w="2556"/>
          </w:tcPr>
          <w:p>
            <w:pPr>
              <w:spacing w:before="20" w:after="20" w:line="264" w:lineRule="auto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  <w:t>GPT-4o assessed 0.79x (&lt;1.0x) as moderate, conservative leverage driven by trade payables.</w:t>
            </w:r>
          </w:p>
        </w:tc>
        <w:tc>
          <w:tcPr>
            <w:tcW w:type="dxa" w:w="2556"/>
          </w:tcPr>
          <w:p>
            <w:pPr>
              <w:spacing w:before="20" w:after="20" w:line="264" w:lineRule="auto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  <w:t>ACCEPTED arithmetic and core solvency view; added verification that family consumer vehicle loans are segregated outside the 4 operational IPs.</w:t>
            </w:r>
          </w:p>
        </w:tc>
      </w:tr>
    </w:tbl>
    <w:p/>
    <w:p>
      <w:pPr>
        <w:pStyle w:val="Heading1"/>
      </w:pPr>
      <w:r>
        <w:t>G. Authorship and judgment reflection</w:t>
      </w:r>
    </w:p>
    <w:p>
      <w:pPr>
        <w:pStyle w:val="FormLabel"/>
      </w:pPr>
      <w:r>
        <w:t>One AI suggestion or line of reasoning I rejected or materially revised, and why:</w:t>
      </w:r>
    </w:p>
    <w:p>
      <w:pPr>
        <w:spacing w:after="120" w:line="269" w:lineRule="auto" w:before="40"/>
      </w:pPr>
      <w:r>
        <w:rPr>
          <w:rFonts w:ascii="Times New Roman" w:hAnsi="Times New Roman"/>
          <w:b w:val="0"/>
          <w:color w:val="0F172A"/>
          <w:sz w:val="19"/>
        </w:rPr>
        <w:t>Answer: I explicitly rejected GPT-4o's financial recommendation that AB Auto liquidate GAZelle parts inventory through aggressive Kaspi price discounting and impose automated bank-style credit scoring on repair shops to raise its Acid-Test ratio from 0.44x to 1.0x. Unchecked discounting violates the owner's &gt;=18% gross margin floor, inventory liquidation exposes fleets to EAEU border delays, and algorithmic credit gates would destroy 5–7 year relational STO mechanic debt ledgers [5].</w:t>
      </w:r>
    </w:p>
    <w:p>
      <w:pPr>
        <w:pStyle w:val="FormLabel"/>
      </w:pPr>
      <w:r>
        <w:t>One point where verification changed my position or qualified my conclusion:</w:t>
      </w:r>
    </w:p>
    <w:p>
      <w:pPr>
        <w:spacing w:after="120" w:line="269" w:lineRule="auto" w:before="40"/>
      </w:pPr>
      <w:r>
        <w:rPr>
          <w:rFonts w:ascii="Times New Roman" w:hAnsi="Times New Roman"/>
          <w:b w:val="0"/>
          <w:color w:val="0F172A"/>
          <w:sz w:val="19"/>
        </w:rPr>
        <w:t>Answer: Testing the entry-level displacement counterargument against Acemoglu &amp; Restrepo's task framework [8] forced me to qualify an unconditional 'yes.' Verification showed that AI genuinely compresses the market value of passive graduates who merely compute textbook ratios; graduates become more valuable ONLY when they combine digital tool governance (ABPos) with contextual auditing and fiscal judgment.</w:t>
      </w:r>
    </w:p>
    <w:p>
      <w:pPr>
        <w:pStyle w:val="FormLabel"/>
      </w:pPr>
      <w:r>
        <w:t>The condition under which I would change my mind, and how I reached it:</w:t>
      </w:r>
    </w:p>
    <w:p>
      <w:pPr>
        <w:spacing w:after="120" w:line="269" w:lineRule="auto" w:before="40"/>
      </w:pPr>
      <w:r>
        <w:rPr>
          <w:rFonts w:ascii="Times New Roman" w:hAnsi="Times New Roman"/>
          <w:b w:val="0"/>
          <w:color w:val="0F172A"/>
          <w:sz w:val="19"/>
        </w:rPr>
        <w:t>Answer: "The condition under which I would change my mind is if AI systems are granted autonomous legal liability and demonstrate empirical capability to audit informal, unrecorded relational credit dynamics in emerging markets without human verification." I reached this falsifiable boundary by isolating the two exact structural ceilings—fiduciary non-personhood under RK law and invisibility of informal B2B trust contracts—that currently make human analysts indispensable at AB Auto.</w:t>
      </w:r>
    </w:p>
    <w:p>
      <w:pPr>
        <w:pStyle w:val="Heading1"/>
      </w:pPr>
      <w:r>
        <w:t>H. Assignment-specific confirmations</w:t>
      </w:r>
    </w:p>
    <w:p>
      <w:pPr>
        <w:ind w:left="0"/>
      </w:pPr>
      <w:r>
        <w:rPr>
          <w:rFonts w:ascii="Times New Roman" w:hAnsi="Times New Roman"/>
          <w:b w:val="0"/>
          <w:color w:val="000000"/>
          <w:sz w:val="21"/>
        </w:rPr>
        <w:t>☑ [X] At least one financial figure or ratio in the essay comes from my Week 8 work and has been independently verified.</w:t>
      </w:r>
    </w:p>
    <w:p>
      <w:pPr>
        <w:ind w:left="0"/>
      </w:pPr>
      <w:r>
        <w:rPr>
          <w:rFonts w:ascii="Times New Roman" w:hAnsi="Times New Roman"/>
          <w:b w:val="0"/>
          <w:color w:val="000000"/>
          <w:sz w:val="21"/>
        </w:rPr>
        <w:t>☑ [X] The strongest counterargument is stated fairly and the final answer is my own judgment.</w:t>
      </w:r>
    </w:p>
    <w:p>
      <w:pPr>
        <w:ind w:left="0"/>
      </w:pPr>
      <w:r>
        <w:rPr>
          <w:rFonts w:ascii="Times New Roman" w:hAnsi="Times New Roman"/>
          <w:b w:val="0"/>
          <w:color w:val="000000"/>
          <w:sz w:val="21"/>
        </w:rPr>
        <w:t>☑ [X] My argument is grounded in Company B, Company A comparison and the Kazakhstan context rather than general AI opinion.</w:t>
      </w:r>
    </w:p>
    <w:p>
      <w:pPr>
        <w:ind w:left="0"/>
      </w:pPr>
      <w:r>
        <w:rPr>
          <w:rFonts w:ascii="Times New Roman" w:hAnsi="Times New Roman"/>
          <w:b w:val="0"/>
          <w:color w:val="000000"/>
          <w:sz w:val="21"/>
        </w:rPr>
        <w:t>☑ [X] My final essay is authored by me and every cited source is in my Evidence Folder.</w:t>
      </w:r>
    </w:p>
    <w:p>
      <w:pPr>
        <w:pStyle w:val="Heading1"/>
      </w:pPr>
      <w:r>
        <w:t>Final declaration</w:t>
      </w:r>
    </w:p>
    <w:p>
      <w:pPr>
        <w:spacing w:after="120"/>
      </w:pPr>
      <w:r>
        <w:rPr>
          <w:rFonts w:ascii="Times New Roman" w:hAnsi="Times New Roman" w:eastAsia="Times New Roman"/>
          <w:b w:val="0"/>
          <w:color w:val="222222"/>
          <w:sz w:val="20"/>
        </w:rPr>
        <w:t>I declare that this form accurately records my AI use for this assignment. I independently verified the claims, numbers and sources for which I remain accountable, and I authored the final analysis and judgment submitted for assessment. Any AI support listed above was used only as disclosed in this form.</w:t>
      </w:r>
    </w:p>
    <w:p>
      <w:pPr>
        <w:ind w:left="0"/>
      </w:pPr>
      <w:r>
        <w:rPr>
          <w:rFonts w:ascii="Times New Roman" w:hAnsi="Times New Roman"/>
          <w:b w:val="0"/>
          <w:color w:val="000000"/>
          <w:sz w:val="21"/>
        </w:rPr>
        <w:t>☑ [X] I confirm that every AI system I used is listed in this declaration.</w:t>
      </w:r>
    </w:p>
    <w:p>
      <w:pPr>
        <w:ind w:left="0"/>
      </w:pPr>
      <w:r>
        <w:rPr>
          <w:rFonts w:ascii="Times New Roman" w:hAnsi="Times New Roman"/>
          <w:b w:val="0"/>
          <w:color w:val="000000"/>
          <w:sz w:val="21"/>
        </w:rPr>
        <w:t>☑ [X] I confirm that I did not fabricate, invent or knowingly submit unverifiable data, claims or references.</w:t>
      </w:r>
    </w:p>
    <w:p>
      <w:pPr>
        <w:ind w:left="0"/>
      </w:pPr>
      <w:r>
        <w:rPr>
          <w:rFonts w:ascii="Times New Roman" w:hAnsi="Times New Roman"/>
          <w:b w:val="0"/>
          <w:color w:val="000000"/>
          <w:sz w:val="21"/>
        </w:rPr>
        <w:t>☑ [X] I confirm that I did not upload the OpenStax textbook or the course core text to an AI system.</w:t>
      </w:r>
    </w:p>
    <w:p>
      <w:pPr>
        <w:spacing w:before="160"/>
      </w:pPr>
      <w:r>
        <w:rPr>
          <w:rFonts w:ascii="Times New Roman" w:hAnsi="Times New Roman"/>
          <w:b/>
          <w:color w:val="000000"/>
          <w:sz w:val="21"/>
        </w:rPr>
        <w:t>Student signature: Manat Amir (ID: 261434, Group DPA-2602)          Date: 31.10.2026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8064"/>
      <w:gridCol w:w="2016"/>
    </w:tblGrid>
    <w:tr>
      <w:tc>
        <w:tcPr>
          <w:tcW w:type="dxa" w:w="5040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jc w:val="left"/>
          </w:pPr>
          <w:r>
            <w:rPr>
              <w:rFonts w:ascii="Times New Roman" w:hAnsi="Times New Roman" w:eastAsia="Times New Roman"/>
              <w:b w:val="0"/>
              <w:color w:val="666666"/>
              <w:sz w:val="17"/>
            </w:rPr>
            <w:t>BA 2026–2027  |  AI-use declaration template</w:t>
          </w:r>
        </w:p>
      </w:tc>
      <w:tc>
        <w:tcPr>
          <w:tcW w:type="dxa" w:w="5040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jc w:val="right"/>
          </w:pPr>
          <w:r/>
          <w:r>
            <w:rPr>
              <w:sz w:val="18"/>
            </w:rPr>
            <w:t xml:space="preserve">Page </w:t>
            <w:fldChar w:fldCharType="begin"/>
            <w:instrText xml:space="preserve"> PAGE </w:instrTex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 w:eastAsia="Times New Roman"/>
        <w:b/>
        <w:color w:val="17365D"/>
        <w:sz w:val="17"/>
      </w:rPr>
      <w:t>ASTANA IT UNIVERSITY  |  School of Digital Public Administration  |  Business Administration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17365D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17365D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160"/>
      <w:contextualSpacing/>
    </w:pPr>
    <w:rPr>
      <w:rFonts w:asciiTheme="majorHAnsi" w:eastAsiaTheme="majorEastAsia" w:hAnsiTheme="majorHAnsi" w:cstheme="majorBidi" w:ascii="Times New Roman" w:hAnsi="Times New Roman"/>
      <w:b/>
      <w:color w:val="17365D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ormLabel">
    <w:name w:val="Form Label"/>
    <w:pPr>
      <w:spacing w:after="40"/>
    </w:pPr>
    <w:rPr>
      <w:rFonts w:ascii="Times New Roman" w:hAnsi="Times New Roman"/>
      <w:b/>
      <w:color w:val="17365D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