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Times New Roman" w:hAnsi="Times New Roman"/>
          <w:b/>
          <w:sz w:val="23"/>
        </w:rPr>
        <w:t>ASTANA IT UNIVERSITY · School of Digital Public Administration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sz w:val="25"/>
        </w:rPr>
        <w:t>Assignment 4 Appendix: Week 8 Financial Discrepancy Audit, Week 9 Career Capability Matrix &amp; Evidence Folder</w:t>
      </w:r>
    </w:p>
    <w:p>
      <w:pPr>
        <w:spacing w:after="160" w:line="276" w:lineRule="auto"/>
        <w:jc w:val="center"/>
        <w:pBdr>
          <w:bottom w:val="single" w:sz="8" w:space="4" w:color="1A2536"/>
        </w:pBdr>
      </w:pPr>
      <w:r>
        <w:rPr>
          <w:rFonts w:ascii="Times New Roman" w:hAnsi="Times New Roman"/>
          <w:sz w:val="20"/>
        </w:rPr>
        <w:t>Student: Manat Amir (ID: 261434) | Group: DPA-2602 | Course: BA 1204 / BA2026 (2026–2027)</w:t>
        <w:br/>
        <w:t>Focal Enterprise (Company B): AB Auto (Astana, 4 IPs, 3% Tax Regime) | Comparator (Company A): Interkom-Auto (TOO, 12% VAT)</w:t>
      </w:r>
    </w:p>
    <w:p>
      <w:pPr>
        <w:keepNext/>
        <w:spacing w:before="200" w:after="80"/>
      </w:pPr>
      <w:r>
        <w:rPr>
          <w:rFonts w:ascii="Times New Roman" w:hAnsi="Times New Roman"/>
          <w:b/>
          <w:color w:val="1A2536"/>
          <w:sz w:val="23"/>
        </w:rPr>
        <w:t>1. Week 8 Financial Position &amp; Verified Ratio Summary (AB Auto, FY 2026)</w:t>
      </w:r>
    </w:p>
    <w:p>
      <w:pPr>
        <w:keepNext/>
        <w:spacing w:after="60"/>
      </w:pPr>
      <w:r>
        <w:rPr>
          <w:rFonts w:ascii="Times New Roman" w:hAnsi="Times New Roman"/>
          <w:b/>
          <w:i w:val="0"/>
          <w:color w:val="000000"/>
          <w:sz w:val="20"/>
        </w:rPr>
        <w:t>Table A1.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0"/>
        </w:rPr>
        <w:t>Verified Management Accounting Inputs (AB Auto Consolidated 4-IP Operational Perimeter, 2026)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608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Financial Line Item</w:t>
            </w:r>
          </w:p>
        </w:tc>
        <w:tc>
          <w:tcPr>
            <w:tcW w:type="dxa" w:w="1757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Verified Amount</w:t>
            </w:r>
          </w:p>
        </w:tc>
        <w:tc>
          <w:tcPr>
            <w:tcW w:type="dxa" w:w="5272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Primary Source &amp; Verification Method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Annual Net Sales (Revenue)</w:t>
            </w:r>
          </w:p>
        </w:tc>
        <w:tc>
          <w:tcPr>
            <w:tcW w:type="dxa" w:w="1757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384.00M KZT</w:t>
            </w:r>
          </w:p>
        </w:tc>
        <w:tc>
          <w:tcPr>
            <w:tcW w:type="dxa" w:w="5272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Audited 1C / ABPos multi-hub register totals across 4 IPs under Art. 683 statutory limits [3], [5].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Annual Net Profit</w:t>
            </w:r>
          </w:p>
        </w:tc>
        <w:tc>
          <w:tcPr>
            <w:tcW w:type="dxa" w:w="1757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26.88M KZT</w:t>
            </w:r>
          </w:p>
        </w:tc>
        <w:tc>
          <w:tcPr>
            <w:tcW w:type="dxa" w:w="5272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Net earnings after COGS, warehouse/counter operating expenses, Kaspi fees, and 3% simplified tax [3], [5].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Total Current Assets</w:t>
            </w:r>
          </w:p>
        </w:tc>
        <w:tc>
          <w:tcPr>
            <w:tcW w:type="dxa" w:w="1757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42.00M KZT</w:t>
            </w:r>
          </w:p>
        </w:tc>
        <w:tc>
          <w:tcPr>
            <w:tcW w:type="dxa" w:w="5272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Sum of spare parts inventory (34.00M KZT) and liquid quick cash/settlement assets (8.00M KZT) [5].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Merchandise Inventory</w:t>
            </w:r>
          </w:p>
        </w:tc>
        <w:tc>
          <w:tcPr>
            <w:tcW w:type="dxa" w:w="1757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34.00M KZT</w:t>
            </w:r>
          </w:p>
        </w:tc>
        <w:tc>
          <w:tcPr>
            <w:tcW w:type="dxa" w:w="5272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Physical stock audit across Koktal 15B hub &amp; Abylai Khan 62 branch (&gt;3,000 GAZelle LCV SKUs) [5].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Quick Assets (Cash &amp; Float)</w:t>
            </w:r>
          </w:p>
        </w:tc>
        <w:tc>
          <w:tcPr>
            <w:tcW w:type="dxa" w:w="1757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8.00M KZT</w:t>
            </w:r>
          </w:p>
        </w:tc>
        <w:tc>
          <w:tcPr>
            <w:tcW w:type="dxa" w:w="5272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Cash on hand, Kaspi Pay next-day settlement float, and liquid balances (42.00M - 34.00M KZT) [5].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Current Liabilities</w:t>
            </w:r>
          </w:p>
        </w:tc>
        <w:tc>
          <w:tcPr>
            <w:tcW w:type="dxa" w:w="1757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18.00M KZT</w:t>
            </w:r>
          </w:p>
        </w:tc>
        <w:tc>
          <w:tcPr>
            <w:tcW w:type="dxa" w:w="5272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30–45 day EAEU supplier trade payables (Planeta Auto &amp; Satis Auto invoices) [5].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Total Liabilities</w:t>
            </w:r>
          </w:p>
        </w:tc>
        <w:tc>
          <w:tcPr>
            <w:tcW w:type="dxa" w:w="1757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22.00M KZT</w:t>
            </w:r>
          </w:p>
        </w:tc>
        <w:tc>
          <w:tcPr>
            <w:tcW w:type="dxa" w:w="5272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Current trade payables (18.00M KZT) + long-term warehouse racking/equipment obligations (4.00M KZT) [5].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Owner's Equity</w:t>
            </w:r>
          </w:p>
        </w:tc>
        <w:tc>
          <w:tcPr>
            <w:tcW w:type="dxa" w:w="1757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28.00M KZT</w:t>
            </w:r>
          </w:p>
        </w:tc>
        <w:tc>
          <w:tcPr>
            <w:tcW w:type="dxa" w:w="5272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Paid-in family capital and retained inventory equity across the 4 operational IPs [5].</w:t>
            </w:r>
          </w:p>
        </w:tc>
      </w:tr>
      <w:tr>
        <w:trPr>
          <w:cantSplit/>
        </w:trPr>
        <w:tc>
          <w:tcPr>
            <w:tcW w:type="dxa" w:w="260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Peak Daily Kaspi QR Velocity</w:t>
            </w:r>
          </w:p>
        </w:tc>
        <w:tc>
          <w:tcPr>
            <w:tcW w:type="dxa" w:w="1757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&gt;3.00M KZT/day</w:t>
            </w:r>
          </w:p>
        </w:tc>
        <w:tc>
          <w:tcPr>
            <w:tcW w:type="dxa" w:w="5272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ABPos daily Kaspi QR and counter cash settlement logs during peak commercial fleet repair cycles [5].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i w:val="0"/>
          <w:color w:val="000000"/>
          <w:sz w:val="20"/>
        </w:rPr>
        <w:t>Table A2.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0"/>
        </w:rPr>
        <w:t>Independently Calculated Financial Ratios (Week 8 Verification, OpenStax Ch. 16 [2])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191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701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Financial Ratio</w:t>
            </w:r>
          </w:p>
        </w:tc>
        <w:tc>
          <w:tcPr>
            <w:tcW w:type="dxa" w:w="2551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Standard Formula</w:t>
            </w:r>
          </w:p>
        </w:tc>
        <w:tc>
          <w:tcPr>
            <w:tcW w:type="dxa" w:w="1928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AB Auto Calculation</w:t>
            </w:r>
          </w:p>
        </w:tc>
        <w:tc>
          <w:tcPr>
            <w:tcW w:type="dxa" w:w="1134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Verified Result</w:t>
            </w:r>
          </w:p>
        </w:tc>
        <w:tc>
          <w:tcPr>
            <w:tcW w:type="dxa" w:w="1134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Benchmark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Liquidity</w:t>
            </w:r>
          </w:p>
        </w:tc>
        <w:tc>
          <w:tcPr>
            <w:tcW w:type="dxa" w:w="1701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Current Ratio</w:t>
            </w:r>
          </w:p>
        </w:tc>
        <w:tc>
          <w:tcPr>
            <w:tcW w:type="dxa" w:w="2551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Current Assets / Current Liabilities</w:t>
            </w:r>
          </w:p>
        </w:tc>
        <w:tc>
          <w:tcPr>
            <w:tcW w:type="dxa" w:w="192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42.00M / 18.00M</w:t>
            </w:r>
          </w:p>
        </w:tc>
        <w:tc>
          <w:tcPr>
            <w:tcW w:type="dxa" w:w="1134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2.33x</w:t>
            </w:r>
          </w:p>
        </w:tc>
        <w:tc>
          <w:tcPr>
            <w:tcW w:type="dxa" w:w="1134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1.50x – 2.00x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Liquidity</w:t>
            </w:r>
          </w:p>
        </w:tc>
        <w:tc>
          <w:tcPr>
            <w:tcW w:type="dxa" w:w="1701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Acid-Test (Quick)</w:t>
            </w:r>
          </w:p>
        </w:tc>
        <w:tc>
          <w:tcPr>
            <w:tcW w:type="dxa" w:w="2551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(Current Assets - Inventory) / Current Liab.</w:t>
            </w:r>
          </w:p>
        </w:tc>
        <w:tc>
          <w:tcPr>
            <w:tcW w:type="dxa" w:w="192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(42.00M - 34.00M) / 18.00M</w:t>
            </w:r>
          </w:p>
        </w:tc>
        <w:tc>
          <w:tcPr>
            <w:tcW w:type="dxa" w:w="1134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0.44x</w:t>
            </w:r>
          </w:p>
        </w:tc>
        <w:tc>
          <w:tcPr>
            <w:tcW w:type="dxa" w:w="1134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&gt;= 1.00x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Profitability</w:t>
            </w:r>
          </w:p>
        </w:tc>
        <w:tc>
          <w:tcPr>
            <w:tcW w:type="dxa" w:w="1701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Net Profit Margin</w:t>
            </w:r>
          </w:p>
        </w:tc>
        <w:tc>
          <w:tcPr>
            <w:tcW w:type="dxa" w:w="2551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(Net Profit / Net Sales) × 100</w:t>
            </w:r>
          </w:p>
        </w:tc>
        <w:tc>
          <w:tcPr>
            <w:tcW w:type="dxa" w:w="192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(26.88M / 384.00M) × 100</w:t>
            </w:r>
          </w:p>
        </w:tc>
        <w:tc>
          <w:tcPr>
            <w:tcW w:type="dxa" w:w="1134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7.00%</w:t>
            </w:r>
          </w:p>
        </w:tc>
        <w:tc>
          <w:tcPr>
            <w:tcW w:type="dxa" w:w="1134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5.50% – 8.00%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Leverage</w:t>
            </w:r>
          </w:p>
        </w:tc>
        <w:tc>
          <w:tcPr>
            <w:tcW w:type="dxa" w:w="1701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Debt-to-Equity</w:t>
            </w:r>
          </w:p>
        </w:tc>
        <w:tc>
          <w:tcPr>
            <w:tcW w:type="dxa" w:w="2551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Total Liabilities / Owner's Equity</w:t>
            </w:r>
          </w:p>
        </w:tc>
        <w:tc>
          <w:tcPr>
            <w:tcW w:type="dxa" w:w="192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22.00M / 28.00M</w:t>
            </w:r>
          </w:p>
        </w:tc>
        <w:tc>
          <w:tcPr>
            <w:tcW w:type="dxa" w:w="1134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0.79x</w:t>
            </w:r>
          </w:p>
        </w:tc>
        <w:tc>
          <w:tcPr>
            <w:tcW w:type="dxa" w:w="1134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&lt; 1.00x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/>
          <w:b/>
          <w:color w:val="1A2536"/>
          <w:sz w:val="23"/>
        </w:rPr>
        <w:t>2. Week 8 Human-vs-AI Financial Discrepancy Audit</w:t>
      </w:r>
    </w:p>
    <w:p>
      <w:pPr>
        <w:keepNext/>
        <w:spacing w:after="60"/>
      </w:pPr>
      <w:r>
        <w:rPr>
          <w:rFonts w:ascii="Times New Roman" w:hAnsi="Times New Roman"/>
          <w:b/>
          <w:i w:val="0"/>
          <w:color w:val="000000"/>
          <w:sz w:val="20"/>
        </w:rPr>
        <w:t>Table A3.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0"/>
        </w:rPr>
        <w:t>Complete Discrepancy Audit Across All Four Financial Ratios (Accept / Correct / Reject Verdicts)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1531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Ratio &amp; Verified Value</w:t>
            </w:r>
          </w:p>
        </w:tc>
        <w:tc>
          <w:tcPr>
            <w:tcW w:type="dxa" w:w="2438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Raw AI Interpretation (GPT-4o)</w:t>
            </w:r>
          </w:p>
        </w:tc>
        <w:tc>
          <w:tcPr>
            <w:tcW w:type="dxa" w:w="1417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Audit Status</w:t>
            </w:r>
          </w:p>
        </w:tc>
        <w:tc>
          <w:tcPr>
            <w:tcW w:type="dxa" w:w="4252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Root Cause of Discrepancy &amp; Human Domain Verification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Current Ratio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br/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2.33x</w:t>
            </w:r>
          </w:p>
        </w:tc>
        <w:tc>
          <w:tcPr>
            <w:tcW w:type="dxa" w:w="243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"Comfortable excess liquidity and idle working capital above 2.0x that could be returned to owners."</w:t>
            </w:r>
          </w:p>
        </w:tc>
        <w:tc>
          <w:tcPr>
            <w:tcW w:type="dxa" w:w="1417"/>
            <w:vAlign w:val="top"/>
            <w:shd w:fill="FFFBEB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92400E"/>
                <w:sz w:val="19"/>
              </w:rPr>
              <w:t>CORRECT</w:t>
            </w:r>
            <w:r>
              <w:rPr>
                <w:rFonts w:ascii="Times New Roman" w:hAnsi="Times New Roman"/>
                <w:b w:val="0"/>
                <w:i w:val="0"/>
                <w:color w:val="92400E"/>
                <w:sz w:val="19"/>
              </w:rPr>
              <w:br/>
            </w:r>
            <w:r>
              <w:rPr>
                <w:rFonts w:ascii="Times New Roman" w:hAnsi="Times New Roman"/>
                <w:b w:val="0"/>
                <w:i/>
                <w:color w:val="92400E"/>
                <w:sz w:val="19"/>
              </w:rPr>
              <w:t>(Qualify Asset Mix)</w:t>
            </w:r>
          </w:p>
        </w:tc>
        <w:tc>
          <w:tcPr>
            <w:tcW w:type="dxa" w:w="4252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Arithmetic verified (42.0M / 18.0M), but AI misread composition: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80.95%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(34.0M KZT) is physical GAZelle leaf springs, clutches, and brake kits staged at Koktal 15B to hedge 1–3 day EAEU border delays—not idle cash [5].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Acid-Test (Quick)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br/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0.44x</w:t>
            </w:r>
          </w:p>
        </w:tc>
        <w:tc>
          <w:tcPr>
            <w:tcW w:type="dxa" w:w="243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"Severe liquidity distress (&lt;1.0x): quick assets cover 44% of current debt, signaling imminent bankruptcy and supplier default."</w:t>
            </w:r>
          </w:p>
        </w:tc>
        <w:tc>
          <w:tcPr>
            <w:tcW w:type="dxa" w:w="1417"/>
            <w:vAlign w:val="top"/>
            <w:shd w:fill="FEF2F2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991B1B"/>
                <w:sz w:val="19"/>
              </w:rPr>
              <w:t>REJECT</w:t>
            </w:r>
            <w:r>
              <w:rPr>
                <w:rFonts w:ascii="Times New Roman" w:hAnsi="Times New Roman"/>
                <w:b w:val="0"/>
                <w:i w:val="0"/>
                <w:color w:val="991B1B"/>
                <w:sz w:val="19"/>
              </w:rPr>
              <w:br/>
            </w:r>
            <w:r>
              <w:rPr>
                <w:rFonts w:ascii="Times New Roman" w:hAnsi="Times New Roman"/>
                <w:b w:val="0"/>
                <w:i/>
                <w:color w:val="991B1B"/>
                <w:sz w:val="19"/>
              </w:rPr>
              <w:t>(Contextual Blindness)</w:t>
            </w:r>
          </w:p>
        </w:tc>
        <w:tc>
          <w:tcPr>
            <w:tcW w:type="dxa" w:w="4252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Critical AI diagnostic failure.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Static textbook rules ignore cash-conversion velocity: ABPos logs confirm rapid daily Kaspi QR inflows (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&gt;3.0M KZT/day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on peak fleet days), settling staggered 30–45 day supplier invoices with zero cash gaps [5].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Net Profit Margin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br/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7.00%</w:t>
            </w:r>
          </w:p>
        </w:tc>
        <w:tc>
          <w:tcPr>
            <w:tcW w:type="dxa" w:w="243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"Thin retail margin (7.0%) vulnerable to 20% corporate income tax, 12% VAT friction, and marketplace discounting."</w:t>
            </w:r>
          </w:p>
        </w:tc>
        <w:tc>
          <w:tcPr>
            <w:tcW w:type="dxa" w:w="1417"/>
            <w:vAlign w:val="top"/>
            <w:shd w:fill="FFFBEB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92400E"/>
                <w:sz w:val="19"/>
              </w:rPr>
              <w:t>CORRECT</w:t>
            </w:r>
            <w:r>
              <w:rPr>
                <w:rFonts w:ascii="Times New Roman" w:hAnsi="Times New Roman"/>
                <w:b w:val="0"/>
                <w:i w:val="0"/>
                <w:color w:val="92400E"/>
                <w:sz w:val="19"/>
              </w:rPr>
              <w:br/>
            </w:r>
            <w:r>
              <w:rPr>
                <w:rFonts w:ascii="Times New Roman" w:hAnsi="Times New Roman"/>
                <w:b w:val="0"/>
                <w:i/>
                <w:color w:val="92400E"/>
                <w:sz w:val="19"/>
              </w:rPr>
              <w:t>(Fiscal Regime Fix)</w:t>
            </w:r>
          </w:p>
        </w:tc>
        <w:tc>
          <w:tcPr>
            <w:tcW w:type="dxa" w:w="4252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AI assumed a consolidated TOO general tax burden like Interkom-Auto [6]. AB Auto operates across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 IPs under Art. 683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(3% Simplified Tax Regime, 0% VAT) and enforces an owner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&gt;=18% gross margin floor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, making 7.0% net margin resilient [3], [5].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Debt-to-Equity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br/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0.79x</w:t>
            </w:r>
          </w:p>
        </w:tc>
        <w:tc>
          <w:tcPr>
            <w:tcW w:type="dxa" w:w="243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/>
                <w:color w:val="111827"/>
                <w:sz w:val="19"/>
              </w:rPr>
              <w:t>"Moderate, solvent leverage (&lt;1.0x) predominantly composed of operational trade payables rather than bank debt."</w:t>
            </w:r>
          </w:p>
        </w:tc>
        <w:tc>
          <w:tcPr>
            <w:tcW w:type="dxa" w:w="1417"/>
            <w:vAlign w:val="top"/>
            <w:shd w:fill="ECFDF5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065F46"/>
                <w:sz w:val="19"/>
              </w:rPr>
              <w:t>ACCEPT</w:t>
            </w:r>
            <w:r>
              <w:rPr>
                <w:rFonts w:ascii="Times New Roman" w:hAnsi="Times New Roman"/>
                <w:b w:val="0"/>
                <w:i w:val="0"/>
                <w:color w:val="065F46"/>
                <w:sz w:val="19"/>
              </w:rPr>
              <w:br/>
            </w:r>
            <w:r>
              <w:rPr>
                <w:rFonts w:ascii="Times New Roman" w:hAnsi="Times New Roman"/>
                <w:b w:val="0"/>
                <w:i/>
                <w:color w:val="065F46"/>
                <w:sz w:val="19"/>
              </w:rPr>
              <w:t>(Retain + Context)</w:t>
            </w:r>
          </w:p>
        </w:tc>
        <w:tc>
          <w:tcPr>
            <w:tcW w:type="dxa" w:w="4252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Core solvency assessment accepted (22.0M / 28.0M = 0.79x). Human audit adds off-balance context: family consumer vehicle loans are legally segregated outside the 4 operational IPs to protect commercial credit capacity [5].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/>
          <w:b/>
          <w:color w:val="1A2536"/>
          <w:sz w:val="23"/>
        </w:rPr>
        <w:t>3. Week 9 Career Capability Portfolio Matrix (Applied to AB Auto Model)</w:t>
      </w:r>
    </w:p>
    <w:p>
      <w:pPr>
        <w:keepNext/>
        <w:spacing w:after="60"/>
      </w:pPr>
      <w:r>
        <w:rPr>
          <w:rFonts w:ascii="Times New Roman" w:hAnsi="Times New Roman"/>
          <w:b/>
          <w:i w:val="0"/>
          <w:color w:val="000000"/>
          <w:sz w:val="20"/>
        </w:rPr>
        <w:t>Table A4.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/>
          <w:color w:val="000000"/>
          <w:sz w:val="20"/>
        </w:rPr>
        <w:t>Human, Business, Digital, and Meta-Capabilities Mapped Against Week 4 &amp; ABPos Operating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1E293B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1587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Capability Pillar</w:t>
            </w:r>
          </w:p>
        </w:tc>
        <w:tc>
          <w:tcPr>
            <w:tcW w:type="dxa" w:w="2608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Graduate Competency in AB Auto</w:t>
            </w:r>
          </w:p>
        </w:tc>
        <w:tc>
          <w:tcPr>
            <w:tcW w:type="dxa" w:w="2665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Link to Week 4 / ABPos Model</w:t>
            </w:r>
          </w:p>
        </w:tc>
        <w:tc>
          <w:tcPr>
            <w:tcW w:type="dxa" w:w="2778"/>
            <w:vAlign w:val="center"/>
            <w:shd w:fill="1A253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Why AI Cannot Substitute It (Durable Value)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1. Human Capabilities</w:t>
            </w:r>
          </w:p>
        </w:tc>
        <w:tc>
          <w:tcPr>
            <w:tcW w:type="dxa" w:w="260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Managing relational B2B trust chains with partnering STO garages, negotiating post-repair credit deferrals, and verbal dual-brand warranty disclosure.</w:t>
            </w:r>
          </w:p>
        </w:tc>
        <w:tc>
          <w:tcPr>
            <w:tcW w:type="dxa" w:w="2665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Governs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Human-Only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tasks in Week 4 Matrix: 5–7 year informal STO credit ledgers generating 45% of B2B revenue at Koktal 15B [5].</w:t>
            </w:r>
          </w:p>
        </w:tc>
        <w:tc>
          <w:tcPr>
            <w:tcW w:type="dxa" w:w="277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Algorithms cannot cultivate reciprocal mechanic loyalty or underwrite unrecorded character-based trade credit in Astana's repair economy [1], [5].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2. Business Capabilities</w:t>
            </w:r>
          </w:p>
        </w:tc>
        <w:tc>
          <w:tcPr>
            <w:tcW w:type="dxa" w:w="260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Enforcing the &gt;=18% gross margin floor, cash-velocity liquidity auditing, and balancing statutory turnover caps across 4 IPs under Art. 683.</w:t>
            </w:r>
          </w:p>
        </w:tc>
        <w:tc>
          <w:tcPr>
            <w:tcW w:type="dxa" w:w="2665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Anchors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Human + AI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financial control: overriding false 0.44x insolvency alerts and blocking margin-eroding Kaspi price wars [3], [5].</w:t>
            </w:r>
          </w:p>
        </w:tc>
        <w:tc>
          <w:tcPr>
            <w:tcW w:type="dxa" w:w="277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Requires fiduciary accountability before Kazakhstan's State Revenue Committee (Form 910 filings) and commercial banks [1], [3].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3. Digital Capabilities</w:t>
            </w:r>
          </w:p>
        </w:tc>
        <w:tc>
          <w:tcPr>
            <w:tcW w:type="dxa" w:w="260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Supervising ABPos multi-hub SQLite/Supabase sync, EAEU vendor manifest OCR intake, and &lt;60s Kaspi API zero-stock delisting triggers.</w:t>
            </w:r>
          </w:p>
        </w:tc>
        <w:tc>
          <w:tcPr>
            <w:tcW w:type="dxa" w:w="2665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Eliminates the </w:t>
            </w: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35-minute cross-branch phone bottleneck</w:t>
            </w: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 xml:space="preserve"> between Koktal 15B and Abylai Khan 62 (cutting dispatch from 65m to 11.5m) [5].</w:t>
            </w:r>
          </w:p>
        </w:tc>
        <w:tc>
          <w:tcPr>
            <w:tcW w:type="dxa" w:w="2778"/>
            <w:vAlign w:val="top"/>
            <w:shd w:fill="FFFFFF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Tier-1 corporate ERPs (Interkom-Auto) misfire in 4-IP SMEs; graduates must architect and govern lightweight domain workflows [5], [7].</w:t>
            </w:r>
          </w:p>
        </w:tc>
      </w:tr>
      <w:tr>
        <w:trPr>
          <w:cantSplit/>
        </w:trPr>
        <w:tc>
          <w:tcPr>
            <w:tcW w:type="dxa" w:w="1587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/>
                <w:i w:val="0"/>
                <w:color w:val="111827"/>
                <w:sz w:val="19"/>
              </w:rPr>
              <w:t>4. Meta-Capabilities</w:t>
            </w:r>
          </w:p>
        </w:tc>
        <w:tc>
          <w:tcPr>
            <w:tcW w:type="dxa" w:w="260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Epistemic vigilance, algorithmic discrepancy auditing, &lt;85% OCR confidence escalation (2m/5m/15m), and 12-hour offline fallback execution.</w:t>
            </w:r>
          </w:p>
        </w:tc>
        <w:tc>
          <w:tcPr>
            <w:tcW w:type="dxa" w:w="2665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Drives Stage 3 Critical Review Gate (&lt;2 min tactile casting-stamp verification) and Week 7 Governance Risk Register [5].</w:t>
            </w:r>
          </w:p>
        </w:tc>
        <w:tc>
          <w:tcPr>
            <w:tcW w:type="dxa" w:w="2778"/>
            <w:vAlign w:val="top"/>
            <w:shd w:fill="F8FAFC"/>
            <w:tcMar>
              <w:top w:w="60" w:type="dxa"/>
              <w:bottom w:w="60" w:type="dxa"/>
              <w:left w:w="85" w:type="dxa"/>
              <w:right w:w="85" w:type="dxa"/>
            </w:tcMar>
          </w:tcPr>
          <w:p>
            <w:pPr>
              <w:spacing w:before="0" w:after="0" w:line="269" w:lineRule="auto"/>
            </w:pPr>
            <w:r>
              <w:rPr>
                <w:rFonts w:ascii="Times New Roman" w:hAnsi="Times New Roman"/>
                <w:b w:val="0"/>
                <w:i w:val="0"/>
                <w:color w:val="111827"/>
                <w:sz w:val="19"/>
              </w:rPr>
              <w:t>AI lacks metacognitive awareness of contextual blind spots (smudged Cyrillic invoices or informal local norms) and legal personhood [1], [8].</w:t>
            </w:r>
          </w:p>
        </w:tc>
      </w:tr>
    </w:tbl>
    <w:p>
      <w:pPr>
        <w:keepNext/>
        <w:spacing w:before="200" w:after="80"/>
      </w:pPr>
      <w:r>
        <w:rPr>
          <w:rFonts w:ascii="Times New Roman" w:hAnsi="Times New Roman"/>
          <w:b/>
          <w:color w:val="1A2536"/>
          <w:sz w:val="23"/>
        </w:rPr>
        <w:t>4. Running IEEE Evidence Folder (Cumulative Current to Week 9)</w:t>
      </w:r>
    </w:p>
    <w:p>
      <w:pPr>
        <w:spacing w:before="0" w:after="60" w:line="269" w:lineRule="auto"/>
        <w:ind w:left="454" w:hanging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G. Yeshenkulova, N. Ibadildin, and M. Tleubayeva, </w:t>
      </w:r>
      <w:r>
        <w:rPr>
          <w:rFonts w:ascii="Times New Roman" w:hAnsi="Times New Roman"/>
          <w:b w:val="0"/>
          <w:i/>
          <w:color w:val="000000"/>
          <w:sz w:val="20"/>
        </w:rPr>
        <w:t>Business Administration</w:t>
      </w:r>
      <w:r>
        <w:rPr>
          <w:rFonts w:ascii="Times New Roman" w:hAnsi="Times New Roman"/>
          <w:b w:val="0"/>
          <w:i w:val="0"/>
          <w:color w:val="000000"/>
          <w:sz w:val="20"/>
        </w:rPr>
        <w:t>. Almaty: ZIALY BASPASY, 2026.</w:t>
      </w:r>
    </w:p>
    <w:p>
      <w:pPr>
        <w:spacing w:before="0" w:after="60" w:line="269" w:lineRule="auto"/>
        <w:ind w:left="454" w:hanging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OpenStax, </w:t>
      </w:r>
      <w:r>
        <w:rPr>
          <w:rFonts w:ascii="Times New Roman" w:hAnsi="Times New Roman"/>
          <w:b w:val="0"/>
          <w:i/>
          <w:color w:val="000000"/>
          <w:sz w:val="20"/>
        </w:rPr>
        <w:t>Introduction to Business</w:t>
      </w:r>
      <w:r>
        <w:rPr>
          <w:rFonts w:ascii="Times New Roman" w:hAnsi="Times New Roman"/>
          <w:b w:val="0"/>
          <w:i w:val="0"/>
          <w:color w:val="000000"/>
          <w:sz w:val="20"/>
        </w:rPr>
        <w:t>, 2nd ed. Houston, TX: OpenStax, 2026, ch. 8, 14, 16.</w:t>
      </w:r>
    </w:p>
    <w:p>
      <w:pPr>
        <w:spacing w:before="0" w:after="60" w:line="269" w:lineRule="auto"/>
        <w:ind w:left="454" w:hanging="454"/>
      </w:pPr>
      <w:r>
        <w:rPr>
          <w:rFonts w:ascii="Times New Roman" w:hAnsi="Times New Roman"/>
          <w:b w:val="0"/>
          <w:i w:val="0"/>
          <w:color w:val="000000"/>
          <w:sz w:val="20"/>
        </w:rPr>
        <w:t>[3] Tax Code of the Republic of Kazakhstan, Law No. 120-VI, Art. 683, 2026.</w:t>
      </w:r>
    </w:p>
    <w:p>
      <w:pPr>
        <w:spacing w:before="0" w:after="60" w:line="269" w:lineRule="auto"/>
        <w:ind w:left="454" w:hanging="454"/>
      </w:pPr>
      <w:r>
        <w:rPr>
          <w:rFonts w:ascii="Times New Roman" w:hAnsi="Times New Roman"/>
          <w:b w:val="0"/>
          <w:i w:val="0"/>
          <w:color w:val="000000"/>
          <w:sz w:val="20"/>
        </w:rPr>
        <w:t>[4] Bureau of National Statistics of the Republic of Kazakhstan, "SME Performance and Retail Indicators in Astana," 2026.</w:t>
      </w:r>
    </w:p>
    <w:p>
      <w:pPr>
        <w:spacing w:before="0" w:after="60" w:line="269" w:lineRule="auto"/>
        <w:ind w:left="454" w:hanging="454"/>
      </w:pPr>
      <w:r>
        <w:rPr>
          <w:rFonts w:ascii="Times New Roman" w:hAnsi="Times New Roman"/>
          <w:b w:val="0"/>
          <w:i w:val="0"/>
          <w:color w:val="000000"/>
          <w:sz w:val="20"/>
        </w:rPr>
        <w:t>[5] AB Auto Internal Management Accounts and ABPos Transaction Logs, "Q3-Q4 Financial Position," Astana, Oct. 2026.</w:t>
      </w:r>
    </w:p>
    <w:p>
      <w:pPr>
        <w:spacing w:before="0" w:after="60" w:line="269" w:lineRule="auto"/>
        <w:ind w:left="454" w:hanging="454"/>
      </w:pPr>
      <w:r>
        <w:rPr>
          <w:rFonts w:ascii="Times New Roman" w:hAnsi="Times New Roman"/>
          <w:b w:val="0"/>
          <w:i w:val="0"/>
          <w:color w:val="000000"/>
          <w:sz w:val="20"/>
        </w:rPr>
        <w:t>[6] Interkom-Auto LLC, "Corporate Disclosure and Taxpayer Rating Report," 2026.</w:t>
      </w:r>
    </w:p>
    <w:p>
      <w:pPr>
        <w:spacing w:before="0" w:after="60" w:line="269" w:lineRule="auto"/>
        <w:ind w:left="454" w:hanging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E. Brynjolfsson and A. McAfee, "The Business of Artificial Intelligence," </w:t>
      </w:r>
      <w:r>
        <w:rPr>
          <w:rFonts w:ascii="Times New Roman" w:hAnsi="Times New Roman"/>
          <w:b w:val="0"/>
          <w:i/>
          <w:color w:val="000000"/>
          <w:sz w:val="20"/>
        </w:rPr>
        <w:t>Harvard Business Review</w:t>
      </w:r>
      <w:r>
        <w:rPr>
          <w:rFonts w:ascii="Times New Roman" w:hAnsi="Times New Roman"/>
          <w:b w:val="0"/>
          <w:i w:val="0"/>
          <w:color w:val="000000"/>
          <w:sz w:val="20"/>
        </w:rPr>
        <w:t>, 2023.</w:t>
      </w:r>
    </w:p>
    <w:p>
      <w:pPr>
        <w:spacing w:before="0" w:after="60" w:line="269" w:lineRule="auto"/>
        <w:ind w:left="454" w:hanging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D. Acemoglu and P. Restrepo, "Tasks, Automation, and the Future of Labor," </w:t>
      </w:r>
      <w:r>
        <w:rPr>
          <w:rFonts w:ascii="Times New Roman" w:hAnsi="Times New Roman"/>
          <w:b w:val="0"/>
          <w:i/>
          <w:color w:val="000000"/>
          <w:sz w:val="20"/>
        </w:rPr>
        <w:t>Journal of Economic Perspectives</w:t>
      </w:r>
      <w:r>
        <w:rPr>
          <w:rFonts w:ascii="Times New Roman" w:hAnsi="Times New Roman"/>
          <w:b w:val="0"/>
          <w:i w:val="0"/>
          <w:color w:val="000000"/>
          <w:sz w:val="20"/>
        </w:rPr>
        <w:t>, 2020.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555555"/>
        <w:sz w:val="19"/>
      </w:rPr>
      <w:t xml:space="preserve">Manat Amir (DPA-2602, ID: 261434)  |  Page </w:t>
    </w:r>
    <w:r>
      <w:rPr>
        <w:rFonts w:ascii="Times New Roman" w:hAnsi="Times New Roman"/>
        <w:color w:val="555555"/>
        <w:sz w:val="19"/>
      </w:rP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/>
        <w:color w:val="555555"/>
        <w:sz w:val="19"/>
      </w:rPr>
      <w:t xml:space="preserve"> of </w:t>
    </w:r>
    <w:r>
      <w:rPr>
        <w:rFonts w:ascii="Times New Roman" w:hAnsi="Times New Roman"/>
        <w:color w:val="555555"/>
        <w:sz w:val="19"/>
      </w:rP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555555"/>
        <w:sz w:val="19"/>
      </w:rPr>
      <w:t>Astana IT University · BA 1204 / BA2026 · Assignment 4: Appendix &amp; Evidence Folder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