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4"/>
        </w:rPr>
        <w:t>ASTANA IT UNIVERSITY</w:t>
        <w:br/>
        <w:t>School of Digital Public Administration</w:t>
      </w:r>
    </w:p>
    <w:p>
      <w:pPr>
        <w:spacing w:before="120" w:after="160" w:line="276" w:lineRule="auto"/>
        <w:jc w:val="center"/>
      </w:pPr>
      <w:r>
        <w:rPr>
          <w:rFonts w:ascii="Times New Roman" w:hAnsi="Times New Roman"/>
          <w:b/>
          <w:sz w:val="26"/>
        </w:rPr>
        <w:t>Assignment 4: Argumentative Essay</w:t>
        <w:br/>
        <w:t>The Value of Business Graduates in an AI-Enabled Economy</w:t>
      </w:r>
    </w:p>
    <w:tbl>
      <w:tblPr>
        <w:tblW w:type="auto" w:w="0"/>
        <w:jc w:val="center"/>
        <w:tblLook w:firstColumn="1" w:firstRow="1" w:lastColumn="0" w:lastRow="0" w:noHBand="0" w:noVBand="1" w:val="04A0"/>
        <w:tblBorders>
          <w:top w:val="single" w:sz="6" w:space="0" w:color="CBD5E1"/>
          <w:bottom w:val="single" w:sz="8" w:space="0" w:color="1E293B"/>
          <w:left w:val="single" w:sz="4" w:space="0" w:color="CBD5E1"/>
          <w:right w:val="single" w:sz="4" w:space="0" w:color="CBD5E1"/>
          <w:insideH w:val="single" w:sz="4" w:space="0" w:color="CBD5E1"/>
          <w:insideV w:val="single" w:sz="4" w:space="0" w:color="CBD5E1"/>
        </w:tblBorders>
      </w:tblPr>
      <w:tblGrid>
        <w:gridCol w:w="2256"/>
        <w:gridCol w:w="2256"/>
        <w:gridCol w:w="2256"/>
        <w:gridCol w:w="2256"/>
      </w:tblGrid>
      <w:tr>
        <w:tc>
          <w:tcPr>
            <w:tcW w:type="dxa" w:w="1984"/>
            <w:tcMar>
              <w:top w:w="45" w:type="dxa"/>
              <w:bottom w:w="45" w:type="dxa"/>
              <w:left w:w="80" w:type="dxa"/>
              <w:right w:w="80" w:type="dxa"/>
            </w:tcMar>
            <w:shd w:fill="F1F5F9"/>
          </w:tcPr>
          <w:p>
            <w:pPr>
              <w:spacing w:before="0" w:after="0" w:line="264" w:lineRule="auto"/>
            </w:pPr>
            <w:r>
              <w:rPr>
                <w:rFonts w:ascii="Times New Roman" w:hAnsi="Times New Roman"/>
                <w:b/>
                <w:sz w:val="20"/>
              </w:rPr>
              <w:t>Student:</w:t>
            </w:r>
          </w:p>
        </w:tc>
        <w:tc>
          <w:tcPr>
            <w:tcW w:type="dxa" w:w="3118"/>
            <w:tcMar>
              <w:top w:w="45" w:type="dxa"/>
              <w:bottom w:w="45" w:type="dxa"/>
              <w:left w:w="80" w:type="dxa"/>
              <w:right w:w="80" w:type="dxa"/>
            </w:tcMar>
          </w:tcPr>
          <w:p>
            <w:pPr>
              <w:spacing w:before="0" w:after="0" w:line="264" w:lineRule="auto"/>
            </w:pPr>
            <w:r>
              <w:rPr>
                <w:rFonts w:ascii="Times New Roman" w:hAnsi="Times New Roman"/>
                <w:b w:val="0"/>
                <w:sz w:val="20"/>
              </w:rPr>
              <w:t>Manat Amir (ID: 261434)</w:t>
            </w:r>
          </w:p>
        </w:tc>
        <w:tc>
          <w:tcPr>
            <w:tcW w:type="dxa" w:w="1757"/>
            <w:tcMar>
              <w:top w:w="45" w:type="dxa"/>
              <w:bottom w:w="45" w:type="dxa"/>
              <w:left w:w="80" w:type="dxa"/>
              <w:right w:w="80" w:type="dxa"/>
            </w:tcMar>
            <w:shd w:fill="F1F5F9"/>
          </w:tcPr>
          <w:p>
            <w:pPr>
              <w:spacing w:before="0" w:after="0" w:line="264" w:lineRule="auto"/>
            </w:pPr>
            <w:r>
              <w:rPr>
                <w:rFonts w:ascii="Times New Roman" w:hAnsi="Times New Roman"/>
                <w:b/>
                <w:sz w:val="20"/>
              </w:rPr>
              <w:t>Group:</w:t>
            </w:r>
          </w:p>
        </w:tc>
        <w:tc>
          <w:tcPr>
            <w:tcW w:type="dxa" w:w="2154"/>
            <w:tcMar>
              <w:top w:w="45" w:type="dxa"/>
              <w:bottom w:w="45" w:type="dxa"/>
              <w:left w:w="80" w:type="dxa"/>
              <w:right w:w="80" w:type="dxa"/>
            </w:tcMar>
          </w:tcPr>
          <w:p>
            <w:pPr>
              <w:spacing w:before="0" w:after="0" w:line="264" w:lineRule="auto"/>
            </w:pPr>
            <w:r>
              <w:rPr>
                <w:rFonts w:ascii="Times New Roman" w:hAnsi="Times New Roman"/>
                <w:b w:val="0"/>
                <w:sz w:val="20"/>
              </w:rPr>
              <w:t>DPA-2602</w:t>
            </w:r>
          </w:p>
        </w:tc>
      </w:tr>
      <w:tr>
        <w:tc>
          <w:tcPr>
            <w:tcW w:type="dxa" w:w="1984"/>
            <w:tcMar>
              <w:top w:w="45" w:type="dxa"/>
              <w:bottom w:w="45" w:type="dxa"/>
              <w:left w:w="80" w:type="dxa"/>
              <w:right w:w="80" w:type="dxa"/>
            </w:tcMar>
            <w:shd w:fill="F1F5F9"/>
          </w:tcPr>
          <w:p>
            <w:pPr>
              <w:spacing w:before="0" w:after="0" w:line="264" w:lineRule="auto"/>
            </w:pPr>
            <w:r>
              <w:rPr>
                <w:rFonts w:ascii="Times New Roman" w:hAnsi="Times New Roman"/>
                <w:b/>
                <w:sz w:val="20"/>
              </w:rPr>
              <w:t>Course:</w:t>
            </w:r>
          </w:p>
        </w:tc>
        <w:tc>
          <w:tcPr>
            <w:tcW w:type="dxa" w:w="3118"/>
            <w:tcMar>
              <w:top w:w="45" w:type="dxa"/>
              <w:bottom w:w="45" w:type="dxa"/>
              <w:left w:w="80" w:type="dxa"/>
              <w:right w:w="80" w:type="dxa"/>
            </w:tcMar>
          </w:tcPr>
          <w:p>
            <w:pPr>
              <w:spacing w:before="0" w:after="0" w:line="264" w:lineRule="auto"/>
            </w:pPr>
            <w:r>
              <w:rPr>
                <w:rFonts w:ascii="Times New Roman" w:hAnsi="Times New Roman"/>
                <w:b w:val="0"/>
                <w:sz w:val="20"/>
              </w:rPr>
              <w:t>Business Administration (BA 1204 / BA2026)</w:t>
            </w:r>
          </w:p>
        </w:tc>
        <w:tc>
          <w:tcPr>
            <w:tcW w:type="dxa" w:w="1757"/>
            <w:tcMar>
              <w:top w:w="45" w:type="dxa"/>
              <w:bottom w:w="45" w:type="dxa"/>
              <w:left w:w="80" w:type="dxa"/>
              <w:right w:w="80" w:type="dxa"/>
            </w:tcMar>
            <w:shd w:fill="F1F5F9"/>
          </w:tcPr>
          <w:p>
            <w:pPr>
              <w:spacing w:before="0" w:after="0" w:line="264" w:lineRule="auto"/>
            </w:pPr>
            <w:r>
              <w:rPr>
                <w:rFonts w:ascii="Times New Roman" w:hAnsi="Times New Roman"/>
                <w:b/>
                <w:sz w:val="20"/>
              </w:rPr>
              <w:t>Submission Date:</w:t>
            </w:r>
          </w:p>
        </w:tc>
        <w:tc>
          <w:tcPr>
            <w:tcW w:type="dxa" w:w="2154"/>
            <w:tcMar>
              <w:top w:w="45" w:type="dxa"/>
              <w:bottom w:w="45" w:type="dxa"/>
              <w:left w:w="80" w:type="dxa"/>
              <w:right w:w="80" w:type="dxa"/>
            </w:tcMar>
          </w:tcPr>
          <w:p>
            <w:pPr>
              <w:spacing w:before="0" w:after="0" w:line="264" w:lineRule="auto"/>
            </w:pPr>
            <w:r>
              <w:rPr>
                <w:rFonts w:ascii="Times New Roman" w:hAnsi="Times New Roman"/>
                <w:b w:val="0"/>
                <w:sz w:val="20"/>
              </w:rPr>
              <w:t>31 October 2026</w:t>
            </w:r>
          </w:p>
        </w:tc>
      </w:tr>
      <w:tr>
        <w:tc>
          <w:tcPr>
            <w:tcW w:type="dxa" w:w="1984"/>
            <w:tcMar>
              <w:top w:w="45" w:type="dxa"/>
              <w:bottom w:w="45" w:type="dxa"/>
              <w:left w:w="80" w:type="dxa"/>
              <w:right w:w="80" w:type="dxa"/>
            </w:tcMar>
            <w:shd w:fill="F1F5F9"/>
          </w:tcPr>
          <w:p>
            <w:pPr>
              <w:spacing w:before="0" w:after="0" w:line="264" w:lineRule="auto"/>
            </w:pPr>
            <w:r>
              <w:rPr>
                <w:rFonts w:ascii="Times New Roman" w:hAnsi="Times New Roman"/>
                <w:b/>
                <w:sz w:val="20"/>
              </w:rPr>
              <w:t>Focal Enterprise (B):</w:t>
            </w:r>
          </w:p>
        </w:tc>
        <w:tc>
          <w:tcPr>
            <w:tcW w:type="dxa" w:w="3118"/>
            <w:tcMar>
              <w:top w:w="45" w:type="dxa"/>
              <w:bottom w:w="45" w:type="dxa"/>
              <w:left w:w="80" w:type="dxa"/>
              <w:right w:w="80" w:type="dxa"/>
            </w:tcMar>
          </w:tcPr>
          <w:p>
            <w:pPr>
              <w:spacing w:before="0" w:after="0" w:line="264" w:lineRule="auto"/>
            </w:pPr>
            <w:r>
              <w:rPr>
                <w:rFonts w:ascii="Times New Roman" w:hAnsi="Times New Roman"/>
                <w:b w:val="0"/>
                <w:sz w:val="20"/>
              </w:rPr>
              <w:t>AB Auto (Astana — 4 IPs, 3% Tax Regime)</w:t>
            </w:r>
          </w:p>
        </w:tc>
        <w:tc>
          <w:tcPr>
            <w:tcW w:type="dxa" w:w="1757"/>
            <w:tcMar>
              <w:top w:w="45" w:type="dxa"/>
              <w:bottom w:w="45" w:type="dxa"/>
              <w:left w:w="80" w:type="dxa"/>
              <w:right w:w="80" w:type="dxa"/>
            </w:tcMar>
            <w:shd w:fill="F1F5F9"/>
          </w:tcPr>
          <w:p>
            <w:pPr>
              <w:spacing w:before="0" w:after="0" w:line="264" w:lineRule="auto"/>
            </w:pPr>
            <w:r>
              <w:rPr>
                <w:rFonts w:ascii="Times New Roman" w:hAnsi="Times New Roman"/>
                <w:b/>
                <w:sz w:val="20"/>
              </w:rPr>
              <w:t>Comparator (A):</w:t>
            </w:r>
          </w:p>
        </w:tc>
        <w:tc>
          <w:tcPr>
            <w:tcW w:type="dxa" w:w="2154"/>
            <w:tcMar>
              <w:top w:w="45" w:type="dxa"/>
              <w:bottom w:w="45" w:type="dxa"/>
              <w:left w:w="80" w:type="dxa"/>
              <w:right w:w="80" w:type="dxa"/>
            </w:tcMar>
          </w:tcPr>
          <w:p>
            <w:pPr>
              <w:spacing w:before="0" w:after="0" w:line="264" w:lineRule="auto"/>
            </w:pPr>
            <w:r>
              <w:rPr>
                <w:rFonts w:ascii="Times New Roman" w:hAnsi="Times New Roman"/>
                <w:b w:val="0"/>
                <w:sz w:val="20"/>
              </w:rPr>
              <w:t>Interkom-Auto (TOO, 12% VAT)</w:t>
            </w:r>
          </w:p>
        </w:tc>
      </w:tr>
      <w:tr>
        <w:tc>
          <w:tcPr>
            <w:tcW w:type="dxa" w:w="1984"/>
            <w:tcMar>
              <w:top w:w="45" w:type="dxa"/>
              <w:bottom w:w="45" w:type="dxa"/>
              <w:left w:w="80" w:type="dxa"/>
              <w:right w:w="80" w:type="dxa"/>
            </w:tcMar>
            <w:shd w:fill="F1F5F9"/>
          </w:tcPr>
          <w:p>
            <w:pPr>
              <w:spacing w:before="0" w:after="0" w:line="264" w:lineRule="auto"/>
            </w:pPr>
            <w:r>
              <w:rPr>
                <w:rFonts w:ascii="Times New Roman" w:hAnsi="Times New Roman"/>
                <w:b/>
                <w:sz w:val="20"/>
              </w:rPr>
              <w:t>AI-Use Level:</w:t>
            </w:r>
          </w:p>
        </w:tc>
        <w:tc>
          <w:tcPr>
            <w:tcW w:type="dxa" w:w="3118"/>
            <w:tcMar>
              <w:top w:w="45" w:type="dxa"/>
              <w:bottom w:w="45" w:type="dxa"/>
              <w:left w:w="80" w:type="dxa"/>
              <w:right w:w="80" w:type="dxa"/>
            </w:tcMar>
          </w:tcPr>
          <w:p>
            <w:pPr>
              <w:spacing w:before="0" w:after="0" w:line="264" w:lineRule="auto"/>
            </w:pPr>
            <w:r>
              <w:rPr>
                <w:rFonts w:ascii="Times New Roman" w:hAnsi="Times New Roman"/>
                <w:b w:val="0"/>
                <w:sz w:val="20"/>
              </w:rPr>
              <w:t>Level 2 (Supported, Disclosed)</w:t>
            </w:r>
          </w:p>
        </w:tc>
        <w:tc>
          <w:tcPr>
            <w:tcW w:type="dxa" w:w="1757"/>
            <w:tcMar>
              <w:top w:w="45" w:type="dxa"/>
              <w:bottom w:w="45" w:type="dxa"/>
              <w:left w:w="80" w:type="dxa"/>
              <w:right w:w="80" w:type="dxa"/>
            </w:tcMar>
            <w:shd w:fill="F1F5F9"/>
          </w:tcPr>
          <w:p>
            <w:pPr>
              <w:spacing w:before="0" w:after="0" w:line="264" w:lineRule="auto"/>
            </w:pPr>
            <w:r>
              <w:rPr>
                <w:rFonts w:ascii="Times New Roman" w:hAnsi="Times New Roman"/>
                <w:b/>
                <w:sz w:val="20"/>
              </w:rPr>
              <w:t>Word Count:</w:t>
            </w:r>
          </w:p>
        </w:tc>
        <w:tc>
          <w:tcPr>
            <w:tcW w:type="dxa" w:w="2154"/>
            <w:tcMar>
              <w:top w:w="45" w:type="dxa"/>
              <w:bottom w:w="45" w:type="dxa"/>
              <w:left w:w="80" w:type="dxa"/>
              <w:right w:w="80" w:type="dxa"/>
            </w:tcMar>
          </w:tcPr>
          <w:p>
            <w:pPr>
              <w:spacing w:before="0" w:after="0" w:line="264" w:lineRule="auto"/>
            </w:pPr>
            <w:r>
              <w:rPr>
                <w:rFonts w:ascii="Times New Roman" w:hAnsi="Times New Roman"/>
                <w:b w:val="0"/>
                <w:sz w:val="20"/>
              </w:rPr>
              <w:t>884 words (Body Prose)</w:t>
            </w:r>
          </w:p>
        </w:tc>
      </w:tr>
    </w:tbl>
    <w:p>
      <w:pPr>
        <w:spacing w:before="80" w:after="120"/>
        <w:pBdr>
          <w:bottom w:val="single" w:sz="8" w:space="4" w:color="1E293B"/>
        </w:pBdr>
      </w:pPr>
    </w:p>
    <w:p>
      <w:pPr>
        <w:keepNext/>
        <w:spacing w:before="200" w:after="60" w:line="276" w:lineRule="auto"/>
      </w:pPr>
      <w:r>
        <w:rPr>
          <w:rFonts w:ascii="Times New Roman" w:hAnsi="Times New Roman"/>
          <w:b/>
          <w:sz w:val="24"/>
        </w:rPr>
        <w:t>1. Position</w:t>
      </w:r>
    </w:p>
    <w:p>
      <w:pPr>
        <w:spacing w:before="0" w:after="120" w:line="276" w:lineRule="auto"/>
        <w:jc w:val="both"/>
      </w:pPr>
      <w:r>
        <w:rPr>
          <w:rFonts w:ascii="Times New Roman" w:hAnsi="Times New Roman"/>
          <w:b w:val="0"/>
          <w:i w:val="0"/>
          <w:color w:val="000000"/>
          <w:sz w:val="24"/>
        </w:rPr>
        <w:t>Artificial intelligence makes business graduates more valuable, not less valuable, provided they possess contextual auditing capabilities and critical domain judgment rather than passive computational reliance [1], [2]. As generative models reduce the marginal cost of routine calculation and document drafting toward zero, employer demand shifts decisively from clerical data compilation to institutional verification and accountable governance. Within Kazakhstan's regulated small-enterprise trade environment [3], [4], empirical comparison between focal enterprise AB Auto—a specialized GAZelle light commercial vehicle parts distributor in Astana [5]—and Tier-1 regional wholesaler Interkom-Auto [6] demonstrates that graduates who audit algorithmic blind spots command a rising strategic premium.</w:t>
      </w:r>
    </w:p>
    <w:p>
      <w:pPr>
        <w:keepNext/>
        <w:spacing w:before="200" w:after="60" w:line="276" w:lineRule="auto"/>
      </w:pPr>
      <w:r>
        <w:rPr>
          <w:rFonts w:ascii="Times New Roman" w:hAnsi="Times New Roman"/>
          <w:b/>
          <w:sz w:val="24"/>
        </w:rPr>
        <w:t>2. Ground 1 — Financial Evidence</w:t>
      </w:r>
    </w:p>
    <w:p>
      <w:pPr>
        <w:spacing w:before="0" w:after="120" w:line="276" w:lineRule="auto"/>
        <w:jc w:val="both"/>
      </w:pPr>
      <w:r>
        <w:rPr>
          <w:rFonts w:ascii="Times New Roman" w:hAnsi="Times New Roman"/>
          <w:b w:val="0"/>
          <w:i w:val="0"/>
          <w:color w:val="000000"/>
          <w:sz w:val="24"/>
        </w:rPr>
        <w:t>Financial ratio verification from Week 8 illustrates precisely where algorithmic output ends and graduate value begins. Independently auditing AB Auto's 2026 management accounts and ABPos point-of-sale logs established four baseline indicators: a Current Ratio of 2.33x (42.0M KZT current assets against 18.0M KZT current liabilities), an Acid-Test (Quick) Ratio of 0.44x (8.0M KZT quick cash assets divided by 18.0M KZT current liabilities, excluding 34.0M KZT in parts inventory), a Net Profit Margin of 7.0% (26.88M KZT annual net profit on 384.0M KZT sales), and a Debt-to-Equity ratio of 0.79x (22.0M KZT total liabilities to 28.0M KZT equity) [2], [5]. During our discrepancy audit, an automated AI financial interpreter flagged the 0.44x Acid-Test ratio—well below the textbook 1.0x benchmark [2]—as evidence of imminent bankruptcy and supplier default. A trained human manager, however, audits the operational reality behind the ledger: AB Auto deliberately holds 34.0M KZT in high-demand GAZelle assemblies to buffer cross-border freight delays while generating high daily cash turnover via Kaspi QR (&gt;3.0M KZT/day during peak fleet cycles) [5]. Consequently, supplier payables are settled continuously without cash-flow gaps, proving that financial interpretation without operational context destroys decision quality.</w:t>
      </w:r>
    </w:p>
    <w:p>
      <w:pPr>
        <w:keepNext/>
        <w:spacing w:before="200" w:after="60" w:line="276" w:lineRule="auto"/>
      </w:pPr>
      <w:r>
        <w:rPr>
          <w:rFonts w:ascii="Times New Roman" w:hAnsi="Times New Roman"/>
          <w:b/>
          <w:sz w:val="24"/>
        </w:rPr>
        <w:t>3. Ground 2 — Organizational and Workforce Evidence</w:t>
      </w:r>
    </w:p>
    <w:p>
      <w:pPr>
        <w:spacing w:before="0" w:after="120" w:line="276" w:lineRule="auto"/>
        <w:jc w:val="both"/>
      </w:pPr>
      <w:r>
        <w:rPr>
          <w:rFonts w:ascii="Times New Roman" w:hAnsi="Times New Roman"/>
          <w:b w:val="0"/>
          <w:i w:val="0"/>
          <w:color w:val="000000"/>
          <w:sz w:val="24"/>
        </w:rPr>
        <w:t>Workforce capability mapping from Week 9 and our Week 4 Human-AI operating model confirm that task automation elevates rather than eliminates graduate roles [1], [7], [8]. Deploying the custom ABPos inventory and register architecture across AB Auto's Koktal 15B central warehouse and Abylai Khan 62 retail branch eliminated the 35-minute cross-branch telephone stock-lookup bottleneck that previously paralyzed frontline operators [5]. Freed from repetitive phone polling and manual SKU transcription, the business graduate's contribution migrates upward across four complementary capability pillars [2], [8]. Digitally, the graduate supervises multi-hub database synchronization and automated Kaspi zero-stock delisting triggers rather than keying raw supplier invoices. From a business capability standpoint, the analyst enforces the owner's strict &gt;=18% gross margin floor, preventing dynamic marketplace repricing from eroding profitability within AB Auto's 7.0% net margin structure [5]. Crucially, human and meta-capabilities become the enterprise's primary value drivers: cultivating multi-year trust chains with partnering auto repair stations (STOs), negotiating post-repair payment deferrals, and overriding low-confidence OCR part matches through mandatory tactile inspection before defective assemblies reach commercial fleets [1], [5]. Automation thus strips away low-wage clerical friction while magnifying accountable managerial coordination across physical and relational workflows.</w:t>
      </w:r>
    </w:p>
    <w:p>
      <w:pPr>
        <w:keepNext/>
        <w:spacing w:before="200" w:after="60" w:line="276" w:lineRule="auto"/>
      </w:pPr>
      <w:r>
        <w:rPr>
          <w:rFonts w:ascii="Times New Roman" w:hAnsi="Times New Roman"/>
          <w:b/>
          <w:sz w:val="24"/>
        </w:rPr>
        <w:t>4. Ground 3 — Comparative Evidence (Kazakhstan Context)</w:t>
      </w:r>
    </w:p>
    <w:p>
      <w:pPr>
        <w:spacing w:before="0" w:after="120" w:line="276" w:lineRule="auto"/>
        <w:jc w:val="both"/>
      </w:pPr>
      <w:r>
        <w:rPr>
          <w:rFonts w:ascii="Times New Roman" w:hAnsi="Times New Roman"/>
          <w:b w:val="0"/>
          <w:i w:val="0"/>
          <w:color w:val="000000"/>
          <w:sz w:val="24"/>
        </w:rPr>
        <w:t>Comparative benchmarking between Company B and Company A demonstrates why this human premium intensifies within Kazakhstan's institutional landscape [3], [4]. Interkom-Auto (Company A) operates as a consolidated Limited Liability Partnership (TOO) under the General Tax Regime with mandatory 12% VAT, contributing over 1.3B KZT in annual taxes while relying on rigid enterprise ERP credit scoring and multi-day warranty laboratory bureaucracy [6]. Conversely, AB Auto (Company B) operates across four decentralized Individual Proprietorships (IPs) under Article 683 of the Kazakhstan Tax Code, utilizing the 3% Simplified Tax Regime, rapid counter agility, and informal STO trade credit [3], [5]. Off-the-shelf corporate AI systems engineered for centralized firms like Interkom-Auto cannot lawfully balance statutory turnover caps across four IPs or price unrecorded relational mechanic trust in Astana's cash-and-QR SME economy without a human business analyst translating local institutional constraints [3], [4].</w:t>
      </w:r>
    </w:p>
    <w:p>
      <w:pPr>
        <w:keepNext/>
        <w:spacing w:before="200" w:after="60" w:line="276" w:lineRule="auto"/>
      </w:pPr>
      <w:r>
        <w:rPr>
          <w:rFonts w:ascii="Times New Roman" w:hAnsi="Times New Roman"/>
          <w:b/>
          <w:sz w:val="24"/>
        </w:rPr>
        <w:t>5. Counterargument and Refutation</w:t>
      </w:r>
    </w:p>
    <w:p>
      <w:pPr>
        <w:spacing w:before="0" w:after="120" w:line="276" w:lineRule="auto"/>
        <w:jc w:val="both"/>
      </w:pPr>
      <w:r>
        <w:rPr>
          <w:rFonts w:ascii="Times New Roman" w:hAnsi="Times New Roman"/>
          <w:b w:val="0"/>
          <w:i w:val="0"/>
          <w:color w:val="000000"/>
          <w:sz w:val="24"/>
        </w:rPr>
        <w:t>A rigorous opposing case contends that autonomous multimodal AI agents and AI-native ERP suites are rapidly moving beyond arithmetic to automate financial statement interpretation, primary customs manifest auditing, and variance reporting end-to-end [7], [8]. Because entry-level business graduates historically entered organizations as junior analysts performing precisely these diagnostic and reconciliation tasks, proponents of labor displacement argue that autonomous enterprise software compresses junior headcount, severs the entry-level apprenticeship ladder, and depresses graduate market value [8]. While this critique accurately predicts wage compression for passive spreadsheet operators, empirical evidence refutes broader graduate obsolescence on two structural grounds. First, autonomous agents suffer from severe contextual blindness: lacking physical access to Astana's repair economy, AI misdiagnosed AB Auto's 0.44x Acid-Test ratio as imminent insolvency [5], an error that would have frozen profitable STO credit lines if executed autonomously. Second, algorithms lack legal personhood; no AI system can bear fiduciary or statutory accountability before Kazakhstan's State Revenue Committee under Article 683 or sign binding representations to commercial banks when tax or solvency audits are contested [1], [3].</w:t>
      </w:r>
    </w:p>
    <w:p>
      <w:pPr>
        <w:keepNext/>
        <w:spacing w:before="200" w:after="60" w:line="276" w:lineRule="auto"/>
      </w:pPr>
      <w:r>
        <w:rPr>
          <w:rFonts w:ascii="Times New Roman" w:hAnsi="Times New Roman"/>
          <w:b/>
          <w:sz w:val="24"/>
        </w:rPr>
        <w:t>6. Conclusion</w:t>
      </w:r>
    </w:p>
    <w:p>
      <w:pPr>
        <w:spacing w:before="0" w:after="120" w:line="276" w:lineRule="auto"/>
        <w:jc w:val="both"/>
      </w:pPr>
      <w:r>
        <w:rPr>
          <w:rFonts w:ascii="Times New Roman" w:hAnsi="Times New Roman"/>
          <w:b w:val="0"/>
          <w:i w:val="0"/>
          <w:color w:val="000000"/>
          <w:sz w:val="24"/>
        </w:rPr>
        <w:t>Ultimately, artificial intelligence bifurcates rather than diminishes the graduate labor market: it penalizes graduates who merely replicate textbook formulas while rewarding those capable of auditing algorithmic errors against real operational cash flows, fiscal regimes, and stakeholder trust [1], [7]. At AB Auto, pairing ABPos digital speed with human liquidity verification and STO credit governance proves that technological leverage amplifies domain-literate managers [5]. The condition under which I would change my mind is if AI systems are granted autonomous legal liability and demonstrate empirical capability to audit informal, unrecorded relational credit dynamics in emerging markets without human verification.</w:t>
      </w:r>
    </w:p>
    <w:p>
      <w:pPr>
        <w:keepNext/>
        <w:spacing w:before="240" w:after="80" w:line="276" w:lineRule="auto"/>
      </w:pPr>
      <w:r>
        <w:rPr>
          <w:rFonts w:ascii="Times New Roman" w:hAnsi="Times New Roman"/>
          <w:b/>
          <w:sz w:val="24"/>
        </w:rPr>
        <w:t>References</w:t>
      </w:r>
    </w:p>
    <w:p>
      <w:pPr>
        <w:spacing w:before="0" w:after="80" w:line="276" w:lineRule="auto"/>
        <w:ind w:left="482" w:hanging="482"/>
        <w:jc w:val="left"/>
      </w:pPr>
      <w:r>
        <w:rPr>
          <w:rFonts w:ascii="Times New Roman" w:hAnsi="Times New Roman"/>
          <w:b w:val="0"/>
          <w:i w:val="0"/>
          <w:color w:val="000000"/>
          <w:sz w:val="22"/>
        </w:rPr>
        <w:t xml:space="preserve">[1] G. Yeshenkulova, N. Ibadildin, and M. Tleubayeva, </w:t>
      </w:r>
      <w:r>
        <w:rPr>
          <w:rFonts w:ascii="Times New Roman" w:hAnsi="Times New Roman"/>
          <w:b w:val="0"/>
          <w:i/>
          <w:color w:val="000000"/>
          <w:sz w:val="22"/>
        </w:rPr>
        <w:t>Business Administration</w:t>
      </w:r>
      <w:r>
        <w:rPr>
          <w:rFonts w:ascii="Times New Roman" w:hAnsi="Times New Roman"/>
          <w:b w:val="0"/>
          <w:i w:val="0"/>
          <w:color w:val="000000"/>
          <w:sz w:val="22"/>
        </w:rPr>
        <w:t>. Almaty: ZIALY BASPASY, 2026.</w:t>
      </w:r>
    </w:p>
    <w:p>
      <w:pPr>
        <w:spacing w:before="0" w:after="80" w:line="276" w:lineRule="auto"/>
        <w:ind w:left="482" w:hanging="482"/>
        <w:jc w:val="left"/>
      </w:pPr>
      <w:r>
        <w:rPr>
          <w:rFonts w:ascii="Times New Roman" w:hAnsi="Times New Roman"/>
          <w:b w:val="0"/>
          <w:i w:val="0"/>
          <w:color w:val="000000"/>
          <w:sz w:val="22"/>
        </w:rPr>
        <w:t xml:space="preserve">[2] OpenStax, </w:t>
      </w:r>
      <w:r>
        <w:rPr>
          <w:rFonts w:ascii="Times New Roman" w:hAnsi="Times New Roman"/>
          <w:b w:val="0"/>
          <w:i/>
          <w:color w:val="000000"/>
          <w:sz w:val="22"/>
        </w:rPr>
        <w:t>Introduction to Business</w:t>
      </w:r>
      <w:r>
        <w:rPr>
          <w:rFonts w:ascii="Times New Roman" w:hAnsi="Times New Roman"/>
          <w:b w:val="0"/>
          <w:i w:val="0"/>
          <w:color w:val="000000"/>
          <w:sz w:val="22"/>
        </w:rPr>
        <w:t>, 2nd ed. Houston, TX: OpenStax, 2026, ch. 8, 14, 16.</w:t>
      </w:r>
    </w:p>
    <w:p>
      <w:pPr>
        <w:spacing w:before="0" w:after="80" w:line="276" w:lineRule="auto"/>
        <w:ind w:left="482" w:hanging="482"/>
        <w:jc w:val="left"/>
      </w:pPr>
      <w:r>
        <w:rPr>
          <w:rFonts w:ascii="Times New Roman" w:hAnsi="Times New Roman"/>
          <w:b w:val="0"/>
          <w:i w:val="0"/>
          <w:color w:val="000000"/>
          <w:sz w:val="22"/>
        </w:rPr>
        <w:t>[3] Tax Code of the Republic of Kazakhstan, Law No. 120-VI, Art. 683, 2026.</w:t>
      </w:r>
    </w:p>
    <w:p>
      <w:pPr>
        <w:spacing w:before="0" w:after="80" w:line="276" w:lineRule="auto"/>
        <w:ind w:left="482" w:hanging="482"/>
        <w:jc w:val="left"/>
      </w:pPr>
      <w:r>
        <w:rPr>
          <w:rFonts w:ascii="Times New Roman" w:hAnsi="Times New Roman"/>
          <w:b w:val="0"/>
          <w:i w:val="0"/>
          <w:color w:val="000000"/>
          <w:sz w:val="22"/>
        </w:rPr>
        <w:t>[4] Bureau of National Statistics of the Republic of Kazakhstan, "SME Performance and Retail Indicators in Astana," 2026.</w:t>
      </w:r>
    </w:p>
    <w:p>
      <w:pPr>
        <w:spacing w:before="0" w:after="80" w:line="276" w:lineRule="auto"/>
        <w:ind w:left="482" w:hanging="482"/>
        <w:jc w:val="left"/>
      </w:pPr>
      <w:r>
        <w:rPr>
          <w:rFonts w:ascii="Times New Roman" w:hAnsi="Times New Roman"/>
          <w:b w:val="0"/>
          <w:i w:val="0"/>
          <w:color w:val="000000"/>
          <w:sz w:val="22"/>
        </w:rPr>
        <w:t>[5] AB Auto Internal Management Accounts and ABPos Transaction Logs, "Q3-Q4 Financial Position," Astana, Oct. 2026.</w:t>
      </w:r>
    </w:p>
    <w:p>
      <w:pPr>
        <w:spacing w:before="0" w:after="80" w:line="276" w:lineRule="auto"/>
        <w:ind w:left="482" w:hanging="482"/>
        <w:jc w:val="left"/>
      </w:pPr>
      <w:r>
        <w:rPr>
          <w:rFonts w:ascii="Times New Roman" w:hAnsi="Times New Roman"/>
          <w:b w:val="0"/>
          <w:i w:val="0"/>
          <w:color w:val="000000"/>
          <w:sz w:val="22"/>
        </w:rPr>
        <w:t>[6] Interkom-Auto LLC, "Corporate Disclosure and Taxpayer Rating Report," 2026.</w:t>
      </w:r>
    </w:p>
    <w:p>
      <w:pPr>
        <w:spacing w:before="0" w:after="80" w:line="276" w:lineRule="auto"/>
        <w:ind w:left="482" w:hanging="482"/>
        <w:jc w:val="left"/>
      </w:pPr>
      <w:r>
        <w:rPr>
          <w:rFonts w:ascii="Times New Roman" w:hAnsi="Times New Roman"/>
          <w:b w:val="0"/>
          <w:i w:val="0"/>
          <w:color w:val="000000"/>
          <w:sz w:val="22"/>
        </w:rPr>
        <w:t xml:space="preserve">[7] E. Brynjolfsson and A. McAfee, "The Business of Artificial Intelligence," </w:t>
      </w:r>
      <w:r>
        <w:rPr>
          <w:rFonts w:ascii="Times New Roman" w:hAnsi="Times New Roman"/>
          <w:b w:val="0"/>
          <w:i/>
          <w:color w:val="000000"/>
          <w:sz w:val="22"/>
        </w:rPr>
        <w:t>Harvard Business Review</w:t>
      </w:r>
      <w:r>
        <w:rPr>
          <w:rFonts w:ascii="Times New Roman" w:hAnsi="Times New Roman"/>
          <w:b w:val="0"/>
          <w:i w:val="0"/>
          <w:color w:val="000000"/>
          <w:sz w:val="22"/>
        </w:rPr>
        <w:t>, 2023.</w:t>
      </w:r>
    </w:p>
    <w:p>
      <w:pPr>
        <w:spacing w:before="0" w:after="80" w:line="276" w:lineRule="auto"/>
        <w:ind w:left="482" w:hanging="482"/>
        <w:jc w:val="left"/>
      </w:pPr>
      <w:r>
        <w:rPr>
          <w:rFonts w:ascii="Times New Roman" w:hAnsi="Times New Roman"/>
          <w:b w:val="0"/>
          <w:i w:val="0"/>
          <w:color w:val="000000"/>
          <w:sz w:val="22"/>
        </w:rPr>
        <w:t xml:space="preserve">[8] D. Acemoglu and P. Restrepo, "Tasks, Automation, and the Future of Labor," </w:t>
      </w:r>
      <w:r>
        <w:rPr>
          <w:rFonts w:ascii="Times New Roman" w:hAnsi="Times New Roman"/>
          <w:b w:val="0"/>
          <w:i/>
          <w:color w:val="000000"/>
          <w:sz w:val="22"/>
        </w:rPr>
        <w:t>Journal of Economic Perspectives</w:t>
      </w:r>
      <w:r>
        <w:rPr>
          <w:rFonts w:ascii="Times New Roman" w:hAnsi="Times New Roman"/>
          <w:b w:val="0"/>
          <w:i w:val="0"/>
          <w:color w:val="000000"/>
          <w:sz w:val="22"/>
        </w:rPr>
        <w:t>, 2020.</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55555"/>
        <w:sz w:val="19"/>
      </w:rPr>
      <w:t xml:space="preserve">Manat Amir (DPA-2602, ID: 261434)  |  Page </w:t>
    </w:r>
    <w:r>
      <w:rPr>
        <w:rFonts w:ascii="Times New Roman" w:hAnsi="Times New Roman"/>
        <w:color w:val="555555"/>
        <w:sz w:val="19"/>
      </w:rPr>
      <w:fldChar w:fldCharType="begin"/>
      <w:instrText xml:space="preserve"> PAGE </w:instrText>
      <w:fldChar w:fldCharType="separate"/>
      <w:fldChar w:fldCharType="end"/>
    </w:r>
    <w:r>
      <w:rPr>
        <w:rFonts w:ascii="Times New Roman" w:hAnsi="Times New Roman"/>
        <w:color w:val="555555"/>
        <w:sz w:val="19"/>
      </w:rPr>
      <w:t xml:space="preserve"> of </w:t>
    </w:r>
    <w:r>
      <w:rPr>
        <w:rFonts w:ascii="Times New Roman" w:hAnsi="Times New Roman"/>
        <w:color w:val="555555"/>
        <w:sz w:val="19"/>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9"/>
      </w:rPr>
      <w:t>Astana IT University · BA 1204 / BA2026 · Assignment 4: Argumentative Essay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