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506" w:rsidRPr="00EC1506" w:rsidRDefault="00EC1506" w:rsidP="00EC150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Document 7 : </w:t>
      </w:r>
      <w:bookmarkStart w:id="0" w:name="_GoBack"/>
      <w:r w:rsidRPr="00EC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Avantages et rémunération</w:t>
      </w:r>
      <w:bookmarkEnd w:id="0"/>
    </w:p>
    <w:p w:rsidR="00EC1506" w:rsidRPr="00EC1506" w:rsidRDefault="00EC1506" w:rsidP="00EC150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1 : Introduction et objectifs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Bienvenue dans le guide des avantages et rémunérations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L’entreprise valorise ses employés et souhaite leur offrir des conditions attractives et justes. Ce document présente l’ensemble des avantages, primes, bonus et procédures de remboursement disponibles pour tous les employés.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 :</w:t>
      </w:r>
    </w:p>
    <w:p w:rsidR="00EC1506" w:rsidRPr="00EC1506" w:rsidRDefault="00EC1506" w:rsidP="00EC150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Fournir une compréhension complète des avantages sociaux disponibles.</w:t>
      </w:r>
    </w:p>
    <w:p w:rsidR="00EC1506" w:rsidRPr="00EC1506" w:rsidRDefault="00EC1506" w:rsidP="00EC150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Décrire la politique de rémunération, primes et bonus.</w:t>
      </w:r>
    </w:p>
    <w:p w:rsidR="00EC1506" w:rsidRPr="00EC1506" w:rsidRDefault="00EC1506" w:rsidP="00EC150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Expliquer les procédures de remboursement de frais professionnels.</w:t>
      </w:r>
    </w:p>
    <w:p w:rsidR="00EC1506" w:rsidRPr="00EC1506" w:rsidRDefault="00EC1506" w:rsidP="00EC150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Promouvoir la transparence et la satisfaction des employés.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 cible :</w:t>
      </w:r>
    </w:p>
    <w:p w:rsidR="00EC1506" w:rsidRPr="00EC1506" w:rsidRDefault="00EC1506" w:rsidP="00EC150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employés de l’entreprise</w:t>
      </w:r>
    </w:p>
    <w:p w:rsidR="00EC1506" w:rsidRPr="00EC1506" w:rsidRDefault="00EC1506" w:rsidP="00EC150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Managers et responsables RH pour le suivi et l’explication des avantages</w:t>
      </w:r>
    </w:p>
    <w:p w:rsidR="00EC1506" w:rsidRPr="00EC1506" w:rsidRDefault="00EC1506" w:rsidP="00EC15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C1506" w:rsidRPr="00EC1506" w:rsidRDefault="00EC1506" w:rsidP="00EC150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2 : Guide des avantages sociaux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Mutuelle et assurance santé</w:t>
      </w:r>
    </w:p>
    <w:p w:rsidR="00EC1506" w:rsidRPr="00EC1506" w:rsidRDefault="00EC1506" w:rsidP="00EC150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Mutuelle obligatoire :</w:t>
      </w: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prise en charge partielle par l’employeur, couvrant soins médicaux et hospitalisation.</w:t>
      </w:r>
    </w:p>
    <w:p w:rsidR="00EC1506" w:rsidRPr="00EC1506" w:rsidRDefault="00EC1506" w:rsidP="00EC150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Assurance complémentaire :</w:t>
      </w: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optionnelle, avec participation employé et employeur.</w:t>
      </w:r>
    </w:p>
    <w:p w:rsidR="00EC1506" w:rsidRPr="00EC1506" w:rsidRDefault="00EC1506" w:rsidP="00EC150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Procédure d’inscription :</w:t>
      </w:r>
    </w:p>
    <w:p w:rsidR="00EC1506" w:rsidRPr="00EC1506" w:rsidRDefault="00EC1506" w:rsidP="00EC150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Remplir le formulaire d’adhésion via la plateforme RH.</w:t>
      </w:r>
    </w:p>
    <w:p w:rsidR="00EC1506" w:rsidRPr="00EC1506" w:rsidRDefault="00EC1506" w:rsidP="00EC150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Fournir les documents requis (carte d’identité, justificatifs).</w:t>
      </w:r>
    </w:p>
    <w:p w:rsidR="00EC1506" w:rsidRPr="00EC1506" w:rsidRDefault="00EC1506" w:rsidP="00EC1506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Recevoir la carte et informations de couverture.</w:t>
      </w:r>
    </w:p>
    <w:p w:rsidR="00EC1506" w:rsidRPr="00EC1506" w:rsidRDefault="00EC1506" w:rsidP="00EC150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Exemple :</w:t>
      </w: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remboursements de consultations, examens médicaux, médicaments.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Tickets restaurant et restauration</w:t>
      </w:r>
    </w:p>
    <w:p w:rsidR="00EC1506" w:rsidRPr="00EC1506" w:rsidRDefault="00EC1506" w:rsidP="00EC150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Distribution de tickets ou crédit mensuel pour la restauration.</w:t>
      </w:r>
    </w:p>
    <w:p w:rsidR="00EC1506" w:rsidRPr="00EC1506" w:rsidRDefault="00EC1506" w:rsidP="00EC150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variable selon le temps de travail (plein temps, temps partiel).</w:t>
      </w:r>
    </w:p>
    <w:p w:rsidR="00EC1506" w:rsidRPr="00EC1506" w:rsidRDefault="00EC1506" w:rsidP="00EC150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Procédure : activé automatiquement via la paie, aucune démarche nécessaire pour le salarié.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Assurance vie et prévoyance</w:t>
      </w:r>
    </w:p>
    <w:p w:rsidR="00EC1506" w:rsidRPr="00EC1506" w:rsidRDefault="00EC1506" w:rsidP="00EC150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Couverture en cas de décès, invalidité ou accident grave.</w:t>
      </w:r>
    </w:p>
    <w:p w:rsidR="00EC1506" w:rsidRPr="00EC1506" w:rsidRDefault="00EC1506" w:rsidP="00EC150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 et montants définis par le contrat collectif de l’entreprise.</w:t>
      </w:r>
    </w:p>
    <w:p w:rsidR="00EC1506" w:rsidRPr="00EC1506" w:rsidRDefault="00EC1506" w:rsidP="00EC150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Modalités d’adhésion et documents à fournir sont disponibles auprès du service RH.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 Autres avantages sociaux</w:t>
      </w:r>
    </w:p>
    <w:p w:rsidR="00EC1506" w:rsidRPr="00EC1506" w:rsidRDefault="00EC1506" w:rsidP="00EC150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Tickets cadeaux pour événements spéciaux (anniversaire, fêtes).</w:t>
      </w:r>
    </w:p>
    <w:p w:rsidR="00EC1506" w:rsidRPr="00EC1506" w:rsidRDefault="00EC1506" w:rsidP="00EC150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Programmes de bien-être : sport, culture, formations complémentaires.</w:t>
      </w:r>
    </w:p>
    <w:p w:rsidR="00EC1506" w:rsidRPr="00EC1506" w:rsidRDefault="00EC1506" w:rsidP="00EC1506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Aide au transport : remboursement partiel ou total des abonnements aux transports publics.</w:t>
      </w:r>
    </w:p>
    <w:p w:rsidR="00EC1506" w:rsidRPr="00EC1506" w:rsidRDefault="00EC1506" w:rsidP="00EC15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C1506" w:rsidRPr="00EC1506" w:rsidRDefault="00EC1506" w:rsidP="00EC150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3 : Politique de primes et bonus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Types de primes :</w:t>
      </w:r>
    </w:p>
    <w:p w:rsidR="00EC1506" w:rsidRPr="00EC1506" w:rsidRDefault="00EC1506" w:rsidP="00EC150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Prime de performance individuelle :</w:t>
      </w: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basée sur l’évaluation annuelle.</w:t>
      </w:r>
    </w:p>
    <w:p w:rsidR="00EC1506" w:rsidRPr="00EC1506" w:rsidRDefault="00EC1506" w:rsidP="00EC150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Prime d’équipe ou projet :</w:t>
      </w: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versée en fonction des résultats collectifs.</w:t>
      </w:r>
    </w:p>
    <w:p w:rsidR="00EC1506" w:rsidRPr="00EC1506" w:rsidRDefault="00EC1506" w:rsidP="00EC150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Prime exceptionnelle :</w:t>
      </w: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attribuée pour un effort ou succès particulier.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Conditions et calcul :</w:t>
      </w:r>
    </w:p>
    <w:p w:rsidR="00EC1506" w:rsidRPr="00EC1506" w:rsidRDefault="00EC1506" w:rsidP="00EC150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primes sont proportionnelles au rôle, ancienneté et performance.</w:t>
      </w:r>
    </w:p>
    <w:p w:rsidR="00EC1506" w:rsidRPr="00EC1506" w:rsidRDefault="00EC1506" w:rsidP="00EC1506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transparents définis par le manager et validés par RH.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3. Bonus annuels :</w:t>
      </w:r>
    </w:p>
    <w:p w:rsidR="00EC1506" w:rsidRPr="00EC1506" w:rsidRDefault="00EC1506" w:rsidP="00EC15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Versés généralement en fin d’année, selon la rentabilité et objectifs atteints.</w:t>
      </w:r>
    </w:p>
    <w:p w:rsidR="00EC1506" w:rsidRPr="00EC1506" w:rsidRDefault="00EC1506" w:rsidP="00EC15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 basé sur un pourcentage du salaire annuel ou montant fixe selon le grade.</w:t>
      </w:r>
    </w:p>
    <w:p w:rsidR="00EC1506" w:rsidRPr="00EC1506" w:rsidRDefault="00EC1506" w:rsidP="00EC1506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:rsidR="00EC1506" w:rsidRPr="00EC1506" w:rsidRDefault="00EC1506" w:rsidP="00EC15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Employé junior : 5 % du salaire annuel si objectifs atteints</w:t>
      </w:r>
    </w:p>
    <w:p w:rsidR="00EC1506" w:rsidRPr="00EC1506" w:rsidRDefault="00EC1506" w:rsidP="00EC1506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Manager : 10 % du salaire annuel, ajusté selon performance de l’équipe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 Procédure :</w:t>
      </w:r>
    </w:p>
    <w:p w:rsidR="00EC1506" w:rsidRPr="00EC1506" w:rsidRDefault="00EC1506" w:rsidP="00EC150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 des performances terminée.</w:t>
      </w:r>
    </w:p>
    <w:p w:rsidR="00EC1506" w:rsidRPr="00EC1506" w:rsidRDefault="00EC1506" w:rsidP="00EC150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des primes et bonus par RH et direction.</w:t>
      </w:r>
    </w:p>
    <w:p w:rsidR="00EC1506" w:rsidRPr="00EC1506" w:rsidRDefault="00EC1506" w:rsidP="00EC1506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Versement via la paie mensuelle ou annuelle.</w:t>
      </w:r>
    </w:p>
    <w:p w:rsidR="00EC1506" w:rsidRPr="00EC1506" w:rsidRDefault="00EC1506" w:rsidP="00EC15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C1506" w:rsidRPr="00EC1506" w:rsidRDefault="00EC1506" w:rsidP="00EC150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4 : Gestion des remboursements de frais professionnels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Types de frais remboursables :</w:t>
      </w:r>
    </w:p>
    <w:p w:rsidR="00EC1506" w:rsidRPr="00EC1506" w:rsidRDefault="00EC1506" w:rsidP="00EC150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Déplacements professionnels (transport, hôtel, repas).</w:t>
      </w:r>
    </w:p>
    <w:p w:rsidR="00EC1506" w:rsidRPr="00EC1506" w:rsidRDefault="00EC1506" w:rsidP="00EC150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Fournitures ou équipements nécessaires pour le travail.</w:t>
      </w:r>
    </w:p>
    <w:p w:rsidR="00EC1506" w:rsidRPr="00EC1506" w:rsidRDefault="00EC1506" w:rsidP="00EC1506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Formations ou séminaires approuvés par le manager.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Procédure de remboursement :</w:t>
      </w:r>
    </w:p>
    <w:p w:rsidR="00EC1506" w:rsidRPr="00EC1506" w:rsidRDefault="00EC1506" w:rsidP="00EC150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Collecter les justificatifs (factures, tickets, reçus).</w:t>
      </w:r>
    </w:p>
    <w:p w:rsidR="00EC1506" w:rsidRPr="00EC1506" w:rsidRDefault="00EC1506" w:rsidP="00EC150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Compléter le formulaire de demande de remboursement sur la plateforme RH.</w:t>
      </w:r>
    </w:p>
    <w:p w:rsidR="00EC1506" w:rsidRPr="00EC1506" w:rsidRDefault="00EC1506" w:rsidP="00EC150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Soumettre pour validation du manager.</w:t>
      </w:r>
    </w:p>
    <w:p w:rsidR="00EC1506" w:rsidRPr="00EC1506" w:rsidRDefault="00EC1506" w:rsidP="00EC150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Transmission à la comptabilité pour traitement et paiement.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Délai et suivi :</w:t>
      </w:r>
    </w:p>
    <w:p w:rsidR="00EC1506" w:rsidRPr="00EC1506" w:rsidRDefault="00EC1506" w:rsidP="00EC150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remboursements sont traités généralement sous 30 jours.</w:t>
      </w:r>
    </w:p>
    <w:p w:rsidR="00EC1506" w:rsidRPr="00EC1506" w:rsidRDefault="00EC1506" w:rsidP="00EC150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Le salarié peut suivre l’état de sa demande via la plateforme RH.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4. Bonnes pratiques :</w:t>
      </w:r>
    </w:p>
    <w:p w:rsidR="00EC1506" w:rsidRPr="00EC1506" w:rsidRDefault="00EC1506" w:rsidP="00EC150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Soumettre les demandes rapidement après le paiement des frais.</w:t>
      </w:r>
    </w:p>
    <w:p w:rsidR="00EC1506" w:rsidRPr="00EC1506" w:rsidRDefault="00EC1506" w:rsidP="00EC150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Conserver les justificatifs originaux pour référence.</w:t>
      </w:r>
    </w:p>
    <w:p w:rsidR="00EC1506" w:rsidRPr="00EC1506" w:rsidRDefault="00EC1506" w:rsidP="00EC150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les plafonds et limites pour chaque type de dépense.</w:t>
      </w:r>
    </w:p>
    <w:p w:rsidR="00EC1506" w:rsidRPr="00EC1506" w:rsidRDefault="00EC1506" w:rsidP="00EC15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C1506" w:rsidRPr="00EC1506" w:rsidRDefault="00EC1506" w:rsidP="00EC1506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5 : Suivi, recommandations et transparence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Suivi des avantages :</w:t>
      </w:r>
    </w:p>
    <w:p w:rsidR="00EC1506" w:rsidRPr="00EC1506" w:rsidRDefault="00EC1506" w:rsidP="00EC150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Les managers et RH assurent la mise à jour régulière des avantages et primes.</w:t>
      </w:r>
    </w:p>
    <w:p w:rsidR="00EC1506" w:rsidRPr="00EC1506" w:rsidRDefault="00EC1506" w:rsidP="00EC150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Les employés peuvent consulter leur dossier individuel sur la plateforme RH.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Recommandations aux employés :</w:t>
      </w:r>
    </w:p>
    <w:p w:rsidR="00EC1506" w:rsidRPr="00EC1506" w:rsidRDefault="00EC1506" w:rsidP="00EC150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régulièrement les informations sur les avantages et primes.</w:t>
      </w:r>
    </w:p>
    <w:p w:rsidR="00EC1506" w:rsidRPr="00EC1506" w:rsidRDefault="00EC1506" w:rsidP="00EC150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Poser des questions à RH si un avantage ou remboursement n’est pas clair.</w:t>
      </w:r>
    </w:p>
    <w:p w:rsidR="00EC1506" w:rsidRPr="00EC1506" w:rsidRDefault="00EC1506" w:rsidP="00EC150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Participer aux programmes proposés pour maximiser les bénéfices (formations, bien-être).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Exemples pratiques :</w:t>
      </w:r>
    </w:p>
    <w:p w:rsidR="00EC1506" w:rsidRPr="00EC1506" w:rsidRDefault="00EC1506" w:rsidP="00EC150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employé part en mission : il soumet ses tickets de transport et repas via la </w:t>
      </w:r>
      <w:proofErr w:type="gramStart"/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plateforme</w:t>
      </w:r>
      <w:proofErr w:type="gramEnd"/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RH et reçoit le remboursement dans le mois suivant.</w:t>
      </w:r>
    </w:p>
    <w:p w:rsidR="00EC1506" w:rsidRPr="00EC1506" w:rsidRDefault="00EC1506" w:rsidP="00EC150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de l’année, le manager attribue une prime de performance à l’équipe : chaque membre consulte son montant sur le portail interne.</w:t>
      </w:r>
    </w:p>
    <w:p w:rsidR="00EC1506" w:rsidRPr="00EC1506" w:rsidRDefault="00EC1506" w:rsidP="00EC15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C15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récapitulatif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85"/>
        <w:gridCol w:w="2838"/>
        <w:gridCol w:w="1823"/>
        <w:gridCol w:w="2116"/>
      </w:tblGrid>
      <w:tr w:rsidR="00EC1506" w:rsidRPr="00EC1506" w:rsidTr="00EC1506"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 d’avantage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Responsable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Procédure principale</w:t>
            </w:r>
          </w:p>
        </w:tc>
      </w:tr>
      <w:tr w:rsidR="00EC1506" w:rsidRPr="00EC1506" w:rsidTr="00EC1506"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Mutuelle / assurance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Santé, hospitalisation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RH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Formulaire + documents</w:t>
            </w:r>
          </w:p>
        </w:tc>
      </w:tr>
      <w:tr w:rsidR="00EC1506" w:rsidRPr="00EC1506" w:rsidTr="00EC1506"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Tickets restaurant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Crédit mensuel pour repas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RH / Paie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Automatique via paie</w:t>
            </w:r>
          </w:p>
        </w:tc>
      </w:tr>
      <w:tr w:rsidR="00EC1506" w:rsidRPr="00EC1506" w:rsidTr="00EC1506"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Primes et bonus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Performance individuelle ou collective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Manager / RH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 + versement</w:t>
            </w:r>
          </w:p>
        </w:tc>
      </w:tr>
      <w:tr w:rsidR="00EC1506" w:rsidRPr="00EC1506" w:rsidTr="00EC1506"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Remboursements de frais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Déplacements, fournitures, formations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Employé / Manager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Formulaire + justificatifs</w:t>
            </w:r>
          </w:p>
        </w:tc>
      </w:tr>
      <w:tr w:rsidR="00EC1506" w:rsidRPr="00EC1506" w:rsidTr="00EC1506"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Bien-être et autres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Sport, culture, événements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RH</w:t>
            </w:r>
          </w:p>
        </w:tc>
        <w:tc>
          <w:tcPr>
            <w:tcW w:w="0" w:type="auto"/>
            <w:hideMark/>
          </w:tcPr>
          <w:p w:rsidR="00EC1506" w:rsidRPr="00EC1506" w:rsidRDefault="00EC1506" w:rsidP="00EC15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C150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Inscription via plateforme</w:t>
            </w:r>
          </w:p>
        </w:tc>
      </w:tr>
    </w:tbl>
    <w:p w:rsidR="002032B1" w:rsidRDefault="002032B1" w:rsidP="00EC1506">
      <w:pPr>
        <w:spacing w:line="360" w:lineRule="auto"/>
      </w:pPr>
    </w:p>
    <w:sectPr w:rsidR="00203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46E40"/>
    <w:multiLevelType w:val="multilevel"/>
    <w:tmpl w:val="C25E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30726"/>
    <w:multiLevelType w:val="multilevel"/>
    <w:tmpl w:val="E892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07632"/>
    <w:multiLevelType w:val="multilevel"/>
    <w:tmpl w:val="427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E742A"/>
    <w:multiLevelType w:val="multilevel"/>
    <w:tmpl w:val="A14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A2D81"/>
    <w:multiLevelType w:val="multilevel"/>
    <w:tmpl w:val="EDA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43D20"/>
    <w:multiLevelType w:val="multilevel"/>
    <w:tmpl w:val="6FF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60FDF"/>
    <w:multiLevelType w:val="multilevel"/>
    <w:tmpl w:val="0766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21CC1"/>
    <w:multiLevelType w:val="multilevel"/>
    <w:tmpl w:val="A9D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6391D"/>
    <w:multiLevelType w:val="multilevel"/>
    <w:tmpl w:val="BBAE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3609E"/>
    <w:multiLevelType w:val="multilevel"/>
    <w:tmpl w:val="8B78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1338A"/>
    <w:multiLevelType w:val="multilevel"/>
    <w:tmpl w:val="C002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A3EAB"/>
    <w:multiLevelType w:val="multilevel"/>
    <w:tmpl w:val="ED8A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67C24"/>
    <w:multiLevelType w:val="multilevel"/>
    <w:tmpl w:val="7C9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11D14"/>
    <w:multiLevelType w:val="multilevel"/>
    <w:tmpl w:val="8258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B86C4F"/>
    <w:multiLevelType w:val="multilevel"/>
    <w:tmpl w:val="A2F2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B2983"/>
    <w:multiLevelType w:val="multilevel"/>
    <w:tmpl w:val="A582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7032B"/>
    <w:multiLevelType w:val="multilevel"/>
    <w:tmpl w:val="5A5E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5"/>
  </w:num>
  <w:num w:numId="4">
    <w:abstractNumId w:val="8"/>
  </w:num>
  <w:num w:numId="5">
    <w:abstractNumId w:val="3"/>
  </w:num>
  <w:num w:numId="6">
    <w:abstractNumId w:val="15"/>
  </w:num>
  <w:num w:numId="7">
    <w:abstractNumId w:val="16"/>
  </w:num>
  <w:num w:numId="8">
    <w:abstractNumId w:val="7"/>
  </w:num>
  <w:num w:numId="9">
    <w:abstractNumId w:val="11"/>
  </w:num>
  <w:num w:numId="10">
    <w:abstractNumId w:val="1"/>
  </w:num>
  <w:num w:numId="11">
    <w:abstractNumId w:val="4"/>
  </w:num>
  <w:num w:numId="12">
    <w:abstractNumId w:val="6"/>
  </w:num>
  <w:num w:numId="13">
    <w:abstractNumId w:val="12"/>
  </w:num>
  <w:num w:numId="14">
    <w:abstractNumId w:val="2"/>
  </w:num>
  <w:num w:numId="15">
    <w:abstractNumId w:val="14"/>
  </w:num>
  <w:num w:numId="16">
    <w:abstractNumId w:val="0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506"/>
    <w:rsid w:val="002032B1"/>
    <w:rsid w:val="00EC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B7D90C-025D-498D-ACE1-136BEAC8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C15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C15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150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C150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EC15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1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EC1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4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785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2025-11-26T19:32:00Z</dcterms:created>
  <dcterms:modified xsi:type="dcterms:W3CDTF">2025-11-26T19:34:00Z</dcterms:modified>
</cp:coreProperties>
</file>