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60E32" w14:textId="05990F6F" w:rsidR="009A638A" w:rsidRDefault="009A638A" w:rsidP="00F57D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F1D1A4" w14:textId="77777777" w:rsidR="005840A0" w:rsidRPr="00F57D55" w:rsidRDefault="005840A0" w:rsidP="00F57D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26B196" w14:textId="02B23092" w:rsidR="00F57D55" w:rsidRPr="00F57D55" w:rsidRDefault="00F57D55" w:rsidP="00F57D55">
      <w:pPr>
        <w:jc w:val="both"/>
        <w:rPr>
          <w:rFonts w:ascii="Times New Roman" w:hAnsi="Times New Roman" w:cs="Times New Roman"/>
          <w:sz w:val="24"/>
          <w:szCs w:val="24"/>
        </w:rPr>
      </w:pPr>
      <w:r w:rsidRPr="00F57D55">
        <w:rPr>
          <w:rFonts w:ascii="Times New Roman" w:hAnsi="Times New Roman" w:cs="Times New Roman"/>
          <w:sz w:val="24"/>
          <w:szCs w:val="24"/>
        </w:rPr>
        <w:t xml:space="preserve">Stefano Cherti è professore associato </w:t>
      </w:r>
      <w:r w:rsidR="005840A0">
        <w:rPr>
          <w:rFonts w:ascii="Times New Roman" w:hAnsi="Times New Roman" w:cs="Times New Roman"/>
          <w:sz w:val="24"/>
          <w:szCs w:val="24"/>
        </w:rPr>
        <w:t xml:space="preserve">di diritto privato </w:t>
      </w:r>
      <w:r w:rsidRPr="00F57D55">
        <w:rPr>
          <w:rFonts w:ascii="Times New Roman" w:hAnsi="Times New Roman" w:cs="Times New Roman"/>
          <w:sz w:val="24"/>
          <w:szCs w:val="24"/>
        </w:rPr>
        <w:t>(abilitato alle funzioni di professore ordinario) nell’Università degli Studi di Cassino e del Lazio Meridionale. Ha fatto parte dell’Arbitro Bancario Finanziario istituito dalla Banca d’Italia ed è stato membro dell’Arbitro per le Controversie Finanziarie istituito dalla Consob.</w:t>
      </w:r>
    </w:p>
    <w:p w14:paraId="33735C40" w14:textId="40DCA439" w:rsidR="00F57D55" w:rsidRPr="00F57D55" w:rsidRDefault="00F57D55" w:rsidP="00F57D55">
      <w:pPr>
        <w:jc w:val="both"/>
        <w:rPr>
          <w:rFonts w:ascii="Times New Roman" w:hAnsi="Times New Roman" w:cs="Times New Roman"/>
          <w:sz w:val="24"/>
          <w:szCs w:val="24"/>
        </w:rPr>
      </w:pPr>
      <w:r w:rsidRPr="00F57D55">
        <w:rPr>
          <w:rFonts w:ascii="Times New Roman" w:hAnsi="Times New Roman" w:cs="Times New Roman"/>
          <w:sz w:val="24"/>
          <w:szCs w:val="24"/>
        </w:rPr>
        <w:t>Attualmente è componente del collegio dell’Arbitro per le Controversie Assicurative istituito presso IVASS.</w:t>
      </w:r>
    </w:p>
    <w:p w14:paraId="56C5B26E" w14:textId="2BF749FF" w:rsidR="00F57D55" w:rsidRPr="00F57D55" w:rsidRDefault="00F57D55" w:rsidP="00F57D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occupa </w:t>
      </w:r>
      <w:r w:rsidR="005840A0">
        <w:rPr>
          <w:rFonts w:ascii="Times New Roman" w:hAnsi="Times New Roman" w:cs="Times New Roman"/>
          <w:sz w:val="24"/>
          <w:szCs w:val="24"/>
        </w:rPr>
        <w:t xml:space="preserve">da diversi anni </w:t>
      </w:r>
      <w:r>
        <w:rPr>
          <w:rFonts w:ascii="Times New Roman" w:hAnsi="Times New Roman" w:cs="Times New Roman"/>
          <w:sz w:val="24"/>
          <w:szCs w:val="24"/>
        </w:rPr>
        <w:t xml:space="preserve">di casi e questioni nell’ambito del diritto civile e commerciale, con un particolare focus </w:t>
      </w:r>
      <w:r w:rsidR="005840A0">
        <w:rPr>
          <w:rFonts w:ascii="Times New Roman" w:hAnsi="Times New Roman" w:cs="Times New Roman"/>
          <w:sz w:val="24"/>
          <w:szCs w:val="24"/>
        </w:rPr>
        <w:t>sui</w:t>
      </w:r>
      <w:r>
        <w:rPr>
          <w:rFonts w:ascii="Times New Roman" w:hAnsi="Times New Roman" w:cs="Times New Roman"/>
          <w:sz w:val="24"/>
          <w:szCs w:val="24"/>
        </w:rPr>
        <w:t xml:space="preserve"> contratti del commercio interno ed internazionale. </w:t>
      </w:r>
      <w:r w:rsidRPr="00F57D55">
        <w:rPr>
          <w:rFonts w:ascii="Times New Roman" w:hAnsi="Times New Roman" w:cs="Times New Roman"/>
          <w:sz w:val="24"/>
          <w:szCs w:val="24"/>
        </w:rPr>
        <w:t>Vanta una lunga esperienza di ricerche nel campo del diritto bancario e assicurativo</w:t>
      </w:r>
      <w:r w:rsidR="005840A0">
        <w:rPr>
          <w:rFonts w:ascii="Times New Roman" w:hAnsi="Times New Roman" w:cs="Times New Roman"/>
          <w:sz w:val="24"/>
          <w:szCs w:val="24"/>
        </w:rPr>
        <w:t xml:space="preserve"> e della responsabilità per </w:t>
      </w:r>
      <w:r w:rsidR="005840A0" w:rsidRPr="005840A0">
        <w:rPr>
          <w:rFonts w:ascii="Times New Roman" w:hAnsi="Times New Roman" w:cs="Times New Roman"/>
          <w:sz w:val="24"/>
          <w:szCs w:val="24"/>
        </w:rPr>
        <w:t>medical malpractice</w:t>
      </w:r>
      <w:r w:rsidR="005840A0">
        <w:rPr>
          <w:rFonts w:ascii="Times New Roman" w:hAnsi="Times New Roman" w:cs="Times New Roman"/>
          <w:sz w:val="24"/>
          <w:szCs w:val="24"/>
        </w:rPr>
        <w:t>.</w:t>
      </w:r>
    </w:p>
    <w:p w14:paraId="34CBF95C" w14:textId="239AA259" w:rsidR="00F57D55" w:rsidRDefault="00F57D55" w:rsidP="00F57D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È autore di importanti studi dedicati al diritto delle obbligazioni e dei contratti, tra i quali si segnalano:</w:t>
      </w:r>
    </w:p>
    <w:p w14:paraId="6E2674D4" w14:textId="32B295EA" w:rsidR="00F57D55" w:rsidRPr="00F57D55" w:rsidRDefault="00F57D55" w:rsidP="00F57D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7D55">
        <w:rPr>
          <w:rFonts w:ascii="Times New Roman" w:hAnsi="Times New Roman" w:cs="Times New Roman"/>
          <w:sz w:val="24"/>
          <w:szCs w:val="24"/>
        </w:rPr>
        <w:t xml:space="preserve">  </w:t>
      </w:r>
      <w:r w:rsidRPr="00F57D55">
        <w:rPr>
          <w:rFonts w:ascii="Times New Roman" w:hAnsi="Times New Roman" w:cs="Times New Roman"/>
          <w:i/>
          <w:sz w:val="24"/>
          <w:szCs w:val="24"/>
        </w:rPr>
        <w:t>Le garanzie convenzionali nella vendita</w:t>
      </w:r>
      <w:r w:rsidRPr="00F57D55">
        <w:rPr>
          <w:rFonts w:ascii="Times New Roman" w:hAnsi="Times New Roman" w:cs="Times New Roman"/>
          <w:sz w:val="24"/>
          <w:szCs w:val="24"/>
        </w:rPr>
        <w:t>, Padova (Cedam), 2004.</w:t>
      </w:r>
    </w:p>
    <w:p w14:paraId="1BF113B0" w14:textId="59399B0D" w:rsidR="00F57D55" w:rsidRPr="00F57D55" w:rsidRDefault="00F57D55" w:rsidP="00F57D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7D55">
        <w:rPr>
          <w:rFonts w:ascii="Times New Roman" w:hAnsi="Times New Roman" w:cs="Times New Roman"/>
          <w:sz w:val="24"/>
          <w:szCs w:val="24"/>
        </w:rPr>
        <w:t xml:space="preserve">  </w:t>
      </w:r>
      <w:r w:rsidRPr="00F57D55">
        <w:rPr>
          <w:rFonts w:ascii="Times New Roman" w:hAnsi="Times New Roman" w:cs="Times New Roman"/>
          <w:i/>
          <w:sz w:val="24"/>
          <w:szCs w:val="24"/>
        </w:rPr>
        <w:t>L’obbligazione Alternativa. Nozione e realtà applicativa</w:t>
      </w:r>
      <w:r w:rsidRPr="00F57D55">
        <w:rPr>
          <w:rFonts w:ascii="Times New Roman" w:hAnsi="Times New Roman" w:cs="Times New Roman"/>
          <w:sz w:val="24"/>
          <w:szCs w:val="24"/>
        </w:rPr>
        <w:t xml:space="preserve"> (II ed.), Torino (Giappichelli), 2008.</w:t>
      </w:r>
    </w:p>
    <w:p w14:paraId="0A8D19BD" w14:textId="66C03FC5" w:rsidR="00F57D55" w:rsidRPr="00F57D55" w:rsidRDefault="00F57D55" w:rsidP="00F57D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7D55">
        <w:rPr>
          <w:rFonts w:ascii="Times New Roman" w:hAnsi="Times New Roman" w:cs="Times New Roman"/>
          <w:sz w:val="24"/>
          <w:szCs w:val="24"/>
        </w:rPr>
        <w:t xml:space="preserve">  </w:t>
      </w:r>
      <w:r w:rsidRPr="00F57D55">
        <w:rPr>
          <w:rFonts w:ascii="Times New Roman" w:hAnsi="Times New Roman" w:cs="Times New Roman"/>
          <w:i/>
          <w:sz w:val="24"/>
          <w:szCs w:val="24"/>
        </w:rPr>
        <w:t>La risoluzione mediante caparra</w:t>
      </w:r>
      <w:r w:rsidRPr="00F57D55">
        <w:rPr>
          <w:rFonts w:ascii="Times New Roman" w:hAnsi="Times New Roman" w:cs="Times New Roman"/>
          <w:sz w:val="24"/>
          <w:szCs w:val="24"/>
        </w:rPr>
        <w:t>, Padova (Cedam), 2012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745266" w14:textId="7631E564" w:rsidR="00F57D55" w:rsidRDefault="00F57D55" w:rsidP="00F57D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7D55">
        <w:rPr>
          <w:rFonts w:ascii="Times New Roman" w:hAnsi="Times New Roman" w:cs="Times New Roman"/>
          <w:sz w:val="24"/>
          <w:szCs w:val="24"/>
        </w:rPr>
        <w:t xml:space="preserve">  </w:t>
      </w:r>
      <w:r w:rsidRPr="00F57D55">
        <w:rPr>
          <w:rFonts w:ascii="Times New Roman" w:hAnsi="Times New Roman" w:cs="Times New Roman"/>
          <w:i/>
          <w:iCs/>
          <w:sz w:val="24"/>
          <w:szCs w:val="24"/>
        </w:rPr>
        <w:t>Sulle clausole “di uscita” dal contratto. Contributo allo studio della risoluzione di diritto</w:t>
      </w:r>
      <w:r w:rsidRPr="00F57D55">
        <w:rPr>
          <w:rFonts w:ascii="Times New Roman" w:hAnsi="Times New Roman" w:cs="Times New Roman"/>
          <w:sz w:val="24"/>
          <w:szCs w:val="24"/>
        </w:rPr>
        <w:t>, Torino (Giappichelli), 2020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A1ED7" w14:textId="57AF4E64" w:rsidR="00F57D55" w:rsidRPr="00F57D55" w:rsidRDefault="00F57D55" w:rsidP="00F57D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7D55">
        <w:rPr>
          <w:rFonts w:ascii="Times New Roman" w:hAnsi="Times New Roman" w:cs="Times New Roman"/>
          <w:sz w:val="24"/>
          <w:szCs w:val="24"/>
        </w:rPr>
        <w:t xml:space="preserve">  </w:t>
      </w:r>
      <w:r w:rsidRPr="00F57D55">
        <w:rPr>
          <w:rFonts w:ascii="Times New Roman" w:hAnsi="Times New Roman" w:cs="Times New Roman"/>
          <w:i/>
          <w:iCs/>
          <w:sz w:val="24"/>
          <w:szCs w:val="24"/>
        </w:rPr>
        <w:t>Contratti Bancari</w:t>
      </w:r>
      <w:r w:rsidRPr="00F57D55">
        <w:rPr>
          <w:rFonts w:ascii="Times New Roman" w:hAnsi="Times New Roman" w:cs="Times New Roman"/>
          <w:sz w:val="24"/>
          <w:szCs w:val="24"/>
        </w:rPr>
        <w:t xml:space="preserve"> a cura di S. Cherti e F. Piraino, in </w:t>
      </w:r>
      <w:r w:rsidRPr="00F57D55">
        <w:rPr>
          <w:rFonts w:ascii="Times New Roman" w:hAnsi="Times New Roman" w:cs="Times New Roman"/>
          <w:i/>
          <w:iCs/>
          <w:sz w:val="24"/>
          <w:szCs w:val="24"/>
        </w:rPr>
        <w:t>Trattato di diritto privato</w:t>
      </w:r>
      <w:r w:rsidRPr="00F57D55">
        <w:rPr>
          <w:rFonts w:ascii="Times New Roman" w:hAnsi="Times New Roman" w:cs="Times New Roman"/>
          <w:sz w:val="24"/>
          <w:szCs w:val="24"/>
        </w:rPr>
        <w:t xml:space="preserve"> dir</w:t>
      </w:r>
      <w:r>
        <w:rPr>
          <w:rFonts w:ascii="Times New Roman" w:hAnsi="Times New Roman" w:cs="Times New Roman"/>
          <w:sz w:val="24"/>
          <w:szCs w:val="24"/>
        </w:rPr>
        <w:t>etto</w:t>
      </w:r>
      <w:r w:rsidRPr="00F57D55">
        <w:rPr>
          <w:rFonts w:ascii="Times New Roman" w:hAnsi="Times New Roman" w:cs="Times New Roman"/>
          <w:sz w:val="24"/>
          <w:szCs w:val="24"/>
        </w:rPr>
        <w:t xml:space="preserve"> da M. Bessone, XIV, Torino (Giappichelli), 2025.</w:t>
      </w:r>
    </w:p>
    <w:p w14:paraId="1E20BA5C" w14:textId="670462E2" w:rsidR="00F57D55" w:rsidRDefault="00F57D55" w:rsidP="00F57D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525DEE" w14:textId="77777777" w:rsidR="005840A0" w:rsidRPr="00F57D55" w:rsidRDefault="005840A0" w:rsidP="00F57D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623180" w14:textId="77777777" w:rsidR="00F57D55" w:rsidRPr="00F57D55" w:rsidRDefault="00F57D55" w:rsidP="00F57D5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57D55" w:rsidRPr="00F57D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94CD2"/>
    <w:multiLevelType w:val="hybridMultilevel"/>
    <w:tmpl w:val="3E526006"/>
    <w:lvl w:ilvl="0" w:tplc="4B72CF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250ED"/>
    <w:multiLevelType w:val="hybridMultilevel"/>
    <w:tmpl w:val="954894A2"/>
    <w:lvl w:ilvl="0" w:tplc="7F58F91A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8A"/>
    <w:rsid w:val="005840A0"/>
    <w:rsid w:val="009A638A"/>
    <w:rsid w:val="00F5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D33F3"/>
  <w15:chartTrackingRefBased/>
  <w15:docId w15:val="{83A658A3-1843-45CE-AF2F-B5BDDF3B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cherti</dc:creator>
  <cp:keywords/>
  <dc:description/>
  <cp:lastModifiedBy>stefano cherti</cp:lastModifiedBy>
  <cp:revision>3</cp:revision>
  <dcterms:created xsi:type="dcterms:W3CDTF">2026-01-17T06:53:00Z</dcterms:created>
  <dcterms:modified xsi:type="dcterms:W3CDTF">2026-01-17T08:18:00Z</dcterms:modified>
</cp:coreProperties>
</file>