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D26E" w14:textId="77777777" w:rsidR="00351C79" w:rsidRPr="00351C79" w:rsidRDefault="00351C79" w:rsidP="00351C79">
      <w:pPr>
        <w:rPr>
          <w:lang w:val="it-IT"/>
        </w:rPr>
      </w:pPr>
      <w:r w:rsidRPr="00351C79">
        <w:rPr>
          <w:lang w:val="it-IT"/>
        </w:rPr>
        <w:t xml:space="preserve">Lorenzo Ferrara si occupa prevalentemente di diritto penale, con specifica esperienza sia in ambito giudiziale sia nell’attività di consulenza </w:t>
      </w:r>
      <w:proofErr w:type="spellStart"/>
      <w:r w:rsidRPr="00351C79">
        <w:rPr>
          <w:lang w:val="it-IT"/>
        </w:rPr>
        <w:t>penal</w:t>
      </w:r>
      <w:proofErr w:type="spellEnd"/>
      <w:r w:rsidRPr="00351C79">
        <w:rPr>
          <w:lang w:val="it-IT"/>
        </w:rPr>
        <w:t xml:space="preserve">-preventiva d’impresa.  In ambito giudiziale ha maturato significativa esperienza nei reati tributari, fallimentari, societari, contro la P.A., contro il patrimonio e ambientali. In ambito consulenziale ha maturato significativa esperienza in diritto penale di impresa e compliance aziendale, con focus sulla responsabilità degli enti ai sensi del d.lgs. 231/01, occupandosi della scrittura dei Modelli di Organizzazione, Gestione e Controllo e delle attività collegate (mappatura dei rischi reato, individuazione delle azioni di miglioramento, etc.). Si occupa altresì di diritto tributario, di diritto assicurativo, crisi d'impresa e compliance. </w:t>
      </w:r>
    </w:p>
    <w:p w14:paraId="03ECB4DC" w14:textId="77777777" w:rsidR="00351C79" w:rsidRPr="00351C79" w:rsidRDefault="00351C79" w:rsidP="00351C79">
      <w:pPr>
        <w:rPr>
          <w:lang w:val="it-IT"/>
        </w:rPr>
      </w:pPr>
    </w:p>
    <w:p w14:paraId="2AE308CE" w14:textId="77777777" w:rsidR="00351C79" w:rsidRPr="00351C79" w:rsidRDefault="00351C79" w:rsidP="00351C79">
      <w:pPr>
        <w:rPr>
          <w:lang w:val="it-IT"/>
        </w:rPr>
      </w:pPr>
      <w:r w:rsidRPr="00351C79">
        <w:rPr>
          <w:lang w:val="it-IT"/>
        </w:rPr>
        <w:t xml:space="preserve">Ha conseguito il Master breve Diritto Penale d’Impresa presso </w:t>
      </w:r>
      <w:proofErr w:type="spellStart"/>
      <w:r w:rsidRPr="00351C79">
        <w:rPr>
          <w:lang w:val="it-IT"/>
        </w:rPr>
        <w:t>Medichini</w:t>
      </w:r>
      <w:proofErr w:type="spellEnd"/>
      <w:r w:rsidRPr="00351C79">
        <w:rPr>
          <w:lang w:val="it-IT"/>
        </w:rPr>
        <w:t xml:space="preserve"> Clodio Formazione nel 2022 e ha partecipato al ciclo di </w:t>
      </w:r>
      <w:proofErr w:type="gramStart"/>
      <w:r w:rsidRPr="00351C79">
        <w:rPr>
          <w:lang w:val="it-IT"/>
        </w:rPr>
        <w:t>seminari</w:t>
      </w:r>
      <w:proofErr w:type="gramEnd"/>
      <w:r w:rsidRPr="00351C79">
        <w:rPr>
          <w:lang w:val="it-IT"/>
        </w:rPr>
        <w:t xml:space="preserve"> La difesa tributaria dal tributario al processo penale tenuto dall’Associazione Centro di Diritto Penale Tributario nel 2024. </w:t>
      </w:r>
    </w:p>
    <w:p w14:paraId="62D5991B" w14:textId="77777777" w:rsidR="00351C79" w:rsidRPr="00351C79" w:rsidRDefault="00351C79" w:rsidP="00351C79">
      <w:pPr>
        <w:rPr>
          <w:lang w:val="it-IT"/>
        </w:rPr>
      </w:pPr>
    </w:p>
    <w:p w14:paraId="375F8B95" w14:textId="77777777" w:rsidR="00351C79" w:rsidRPr="00351C79" w:rsidRDefault="00351C79" w:rsidP="00351C79">
      <w:pPr>
        <w:rPr>
          <w:lang w:val="it-IT"/>
        </w:rPr>
      </w:pPr>
      <w:r w:rsidRPr="00351C79">
        <w:rPr>
          <w:lang w:val="it-IT"/>
        </w:rPr>
        <w:t xml:space="preserve">Dopo la laurea, conseguita presso l’Università degli Studi di Roma Tre con una tesi in diritto costituzionale regionale dal titolo Il dialogo tra amministrazioni nella fase governativa del controllo di legittimità costituzionale delle leggi regionali, ha maturato una prima esperienza nel diritto civile e penale presso un affermato studio legale di Roma.  </w:t>
      </w:r>
    </w:p>
    <w:p w14:paraId="677AA6BF" w14:textId="77777777" w:rsidR="00351C79" w:rsidRPr="00351C79" w:rsidRDefault="00351C79" w:rsidP="00351C79">
      <w:pPr>
        <w:rPr>
          <w:lang w:val="it-IT"/>
        </w:rPr>
      </w:pPr>
    </w:p>
    <w:p w14:paraId="675BE27F" w14:textId="77777777" w:rsidR="00351C79" w:rsidRPr="00351C79" w:rsidRDefault="00351C79" w:rsidP="00351C79">
      <w:pPr>
        <w:rPr>
          <w:lang w:val="it-IT"/>
        </w:rPr>
      </w:pPr>
      <w:r w:rsidRPr="00351C79">
        <w:rPr>
          <w:lang w:val="it-IT"/>
        </w:rPr>
        <w:t xml:space="preserve">Nel 2017 ha lavorato presso la Presidenza del </w:t>
      </w:r>
      <w:proofErr w:type="gramStart"/>
      <w:r w:rsidRPr="00351C79">
        <w:rPr>
          <w:lang w:val="it-IT"/>
        </w:rPr>
        <w:t>Consiglio dei Ministri</w:t>
      </w:r>
      <w:proofErr w:type="gramEnd"/>
      <w:r w:rsidRPr="00351C79">
        <w:rPr>
          <w:lang w:val="it-IT"/>
        </w:rPr>
        <w:t xml:space="preserve"> – Dipartimento per gli Affari Regionali, nell’ufficio competente per il controllo di legittimità delle leggi regionali e delle relative modifiche statutarie.  </w:t>
      </w:r>
    </w:p>
    <w:p w14:paraId="4B0D1EAB" w14:textId="77777777" w:rsidR="00351C79" w:rsidRPr="00351C79" w:rsidRDefault="00351C79" w:rsidP="00351C79">
      <w:pPr>
        <w:rPr>
          <w:lang w:val="it-IT"/>
        </w:rPr>
      </w:pPr>
    </w:p>
    <w:p w14:paraId="515E5B9D" w14:textId="77777777" w:rsidR="00351C79" w:rsidRPr="00351C79" w:rsidRDefault="00351C79" w:rsidP="00351C79">
      <w:pPr>
        <w:rPr>
          <w:lang w:val="it-IT"/>
        </w:rPr>
      </w:pPr>
      <w:r w:rsidRPr="00351C79">
        <w:rPr>
          <w:lang w:val="it-IT"/>
        </w:rPr>
        <w:t xml:space="preserve">Dal 2019 collabora con Studio </w:t>
      </w:r>
      <w:proofErr w:type="spellStart"/>
      <w:r w:rsidRPr="00351C79">
        <w:rPr>
          <w:lang w:val="it-IT"/>
        </w:rPr>
        <w:t>Legalit</w:t>
      </w:r>
      <w:proofErr w:type="spellEnd"/>
      <w:r w:rsidRPr="00351C79">
        <w:rPr>
          <w:lang w:val="it-IT"/>
        </w:rPr>
        <w:t xml:space="preserve">.  </w:t>
      </w:r>
    </w:p>
    <w:p w14:paraId="2BED798B" w14:textId="77777777" w:rsidR="00351C79" w:rsidRPr="00351C79" w:rsidRDefault="00351C79" w:rsidP="00351C79">
      <w:pPr>
        <w:rPr>
          <w:lang w:val="it-IT"/>
        </w:rPr>
      </w:pPr>
    </w:p>
    <w:p w14:paraId="1249634A" w14:textId="505C855D" w:rsidR="00351C79" w:rsidRPr="00351C79" w:rsidRDefault="00351C79" w:rsidP="00351C79">
      <w:pPr>
        <w:rPr>
          <w:lang w:val="it-IT"/>
        </w:rPr>
      </w:pPr>
      <w:r w:rsidRPr="00351C79">
        <w:rPr>
          <w:lang w:val="it-IT"/>
        </w:rPr>
        <w:t>È avvocato dal gennaio 2022 ed è iscritto all’Ordine degli Avvocati di Roma.</w:t>
      </w:r>
    </w:p>
    <w:sectPr w:rsidR="00351C79" w:rsidRPr="00351C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79"/>
    <w:rsid w:val="00351C79"/>
    <w:rsid w:val="00664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A9A9"/>
  <w15:chartTrackingRefBased/>
  <w15:docId w15:val="{9629BDDC-72EC-4F28-BF8C-F2D5BD17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C79"/>
    <w:rPr>
      <w:rFonts w:eastAsiaTheme="majorEastAsia" w:cstheme="majorBidi"/>
      <w:color w:val="272727" w:themeColor="text1" w:themeTint="D8"/>
    </w:rPr>
  </w:style>
  <w:style w:type="paragraph" w:styleId="Title">
    <w:name w:val="Title"/>
    <w:basedOn w:val="Normal"/>
    <w:next w:val="Normal"/>
    <w:link w:val="TitleChar"/>
    <w:uiPriority w:val="10"/>
    <w:qFormat/>
    <w:rsid w:val="0035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C79"/>
    <w:pPr>
      <w:spacing w:before="160"/>
      <w:jc w:val="center"/>
    </w:pPr>
    <w:rPr>
      <w:i/>
      <w:iCs/>
      <w:color w:val="404040" w:themeColor="text1" w:themeTint="BF"/>
    </w:rPr>
  </w:style>
  <w:style w:type="character" w:customStyle="1" w:styleId="QuoteChar">
    <w:name w:val="Quote Char"/>
    <w:basedOn w:val="DefaultParagraphFont"/>
    <w:link w:val="Quote"/>
    <w:uiPriority w:val="29"/>
    <w:rsid w:val="00351C79"/>
    <w:rPr>
      <w:i/>
      <w:iCs/>
      <w:color w:val="404040" w:themeColor="text1" w:themeTint="BF"/>
    </w:rPr>
  </w:style>
  <w:style w:type="paragraph" w:styleId="ListParagraph">
    <w:name w:val="List Paragraph"/>
    <w:basedOn w:val="Normal"/>
    <w:uiPriority w:val="34"/>
    <w:qFormat/>
    <w:rsid w:val="00351C79"/>
    <w:pPr>
      <w:ind w:left="720"/>
      <w:contextualSpacing/>
    </w:pPr>
  </w:style>
  <w:style w:type="character" w:styleId="IntenseEmphasis">
    <w:name w:val="Intense Emphasis"/>
    <w:basedOn w:val="DefaultParagraphFont"/>
    <w:uiPriority w:val="21"/>
    <w:qFormat/>
    <w:rsid w:val="00351C79"/>
    <w:rPr>
      <w:i/>
      <w:iCs/>
      <w:color w:val="0F4761" w:themeColor="accent1" w:themeShade="BF"/>
    </w:rPr>
  </w:style>
  <w:style w:type="paragraph" w:styleId="IntenseQuote">
    <w:name w:val="Intense Quote"/>
    <w:basedOn w:val="Normal"/>
    <w:next w:val="Normal"/>
    <w:link w:val="IntenseQuoteChar"/>
    <w:uiPriority w:val="30"/>
    <w:qFormat/>
    <w:rsid w:val="00351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C79"/>
    <w:rPr>
      <w:i/>
      <w:iCs/>
      <w:color w:val="0F4761" w:themeColor="accent1" w:themeShade="BF"/>
    </w:rPr>
  </w:style>
  <w:style w:type="character" w:styleId="IntenseReference">
    <w:name w:val="Intense Reference"/>
    <w:basedOn w:val="DefaultParagraphFont"/>
    <w:uiPriority w:val="32"/>
    <w:qFormat/>
    <w:rsid w:val="00351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Sirtori</dc:creator>
  <cp:keywords/>
  <dc:description/>
  <cp:lastModifiedBy>Riccardo Sirtori</cp:lastModifiedBy>
  <cp:revision>1</cp:revision>
  <dcterms:created xsi:type="dcterms:W3CDTF">2026-02-26T16:28:00Z</dcterms:created>
  <dcterms:modified xsi:type="dcterms:W3CDTF">2026-02-26T16:30:00Z</dcterms:modified>
</cp:coreProperties>
</file>