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197F" w14:textId="77777777" w:rsidR="007A4EB4" w:rsidRDefault="007A4EB4" w:rsidP="007A4EB4">
      <w:pPr>
        <w:pStyle w:val="NormaleWeb"/>
        <w:jc w:val="both"/>
      </w:pPr>
      <w:r>
        <w:t xml:space="preserve">La Dott.ssa </w:t>
      </w:r>
      <w:r>
        <w:rPr>
          <w:rStyle w:val="Enfasigrassetto"/>
          <w:rFonts w:eastAsiaTheme="majorEastAsia"/>
        </w:rPr>
        <w:t>Angela Martina Tortorici</w:t>
      </w:r>
      <w:r>
        <w:t xml:space="preserve"> è praticante avvocato iscritta all’Albo del Foro di Palermo e collabora con lo Studio Legalit, dove contribuisce alle attività di ricerca normativa e giurisprudenziale e all’analisi di procedimenti complessi in ambito amministrativo e civile.</w:t>
      </w:r>
    </w:p>
    <w:p w14:paraId="7A4E08E1" w14:textId="77777777" w:rsidR="007A4EB4" w:rsidRDefault="007A4EB4" w:rsidP="007A4EB4">
      <w:pPr>
        <w:pStyle w:val="NormaleWeb"/>
        <w:jc w:val="both"/>
      </w:pPr>
      <w:r>
        <w:t xml:space="preserve">Nel settore del </w:t>
      </w:r>
      <w:r>
        <w:rPr>
          <w:rStyle w:val="Enfasigrassetto"/>
          <w:rFonts w:eastAsiaTheme="majorEastAsia"/>
        </w:rPr>
        <w:t>diritto amministrativo</w:t>
      </w:r>
      <w:r>
        <w:t xml:space="preserve">, concentra la propria attività sulle dinamiche tra cittadini e pubblica amministrazione, con particolare esperienza nei </w:t>
      </w:r>
      <w:r>
        <w:rPr>
          <w:rStyle w:val="Enfasigrassetto"/>
          <w:rFonts w:eastAsiaTheme="majorEastAsia"/>
        </w:rPr>
        <w:t>ricorsi avverso il silenzio amministrativo</w:t>
      </w:r>
      <w:r>
        <w:t xml:space="preserve"> e nelle questioni </w:t>
      </w:r>
      <w:r>
        <w:rPr>
          <w:rStyle w:val="Enfasigrassetto"/>
          <w:rFonts w:eastAsiaTheme="majorEastAsia"/>
        </w:rPr>
        <w:t>edilizie e urbanistiche</w:t>
      </w:r>
      <w:r>
        <w:t>. Il suo lavoro si distingue per un approccio rigoroso e orientato alla soluzione, supportato da un costante aggiornamento sulle evoluzioni normative e giurisprudenziali.</w:t>
      </w:r>
    </w:p>
    <w:p w14:paraId="1EB7A796" w14:textId="77777777" w:rsidR="007A4EB4" w:rsidRDefault="007A4EB4" w:rsidP="007A4EB4">
      <w:pPr>
        <w:pStyle w:val="NormaleWeb"/>
        <w:jc w:val="both"/>
      </w:pPr>
      <w:r>
        <w:t xml:space="preserve">Parallelamente, opera nel </w:t>
      </w:r>
      <w:r>
        <w:rPr>
          <w:rStyle w:val="Enfasigrassetto"/>
          <w:rFonts w:eastAsiaTheme="majorEastAsia"/>
        </w:rPr>
        <w:t>diritto civile</w:t>
      </w:r>
      <w:r>
        <w:t xml:space="preserve"> e nelle </w:t>
      </w:r>
      <w:r>
        <w:rPr>
          <w:rStyle w:val="Enfasigrassetto"/>
          <w:rFonts w:eastAsiaTheme="majorEastAsia"/>
        </w:rPr>
        <w:t>procedure esecutive</w:t>
      </w:r>
      <w:r>
        <w:t xml:space="preserve">, seguendo pratiche di </w:t>
      </w:r>
      <w:r>
        <w:rPr>
          <w:rStyle w:val="Enfasigrassetto"/>
          <w:rFonts w:eastAsiaTheme="majorEastAsia"/>
        </w:rPr>
        <w:t>recupero crediti</w:t>
      </w:r>
      <w:r>
        <w:t xml:space="preserve">, procedimenti per </w:t>
      </w:r>
      <w:r>
        <w:rPr>
          <w:rStyle w:val="Enfasigrassetto"/>
          <w:rFonts w:eastAsiaTheme="majorEastAsia"/>
        </w:rPr>
        <w:t>decreti ingiuntivi</w:t>
      </w:r>
      <w:r>
        <w:t xml:space="preserve"> e attività stragiudiziali, tra cui </w:t>
      </w:r>
      <w:r>
        <w:rPr>
          <w:rStyle w:val="Enfasigrassetto"/>
          <w:rFonts w:eastAsiaTheme="majorEastAsia"/>
        </w:rPr>
        <w:t>pratiche successorie</w:t>
      </w:r>
      <w:r>
        <w:t xml:space="preserve"> e </w:t>
      </w:r>
      <w:r>
        <w:rPr>
          <w:rStyle w:val="Enfasigrassetto"/>
          <w:rFonts w:eastAsiaTheme="majorEastAsia"/>
        </w:rPr>
        <w:t>rinunce all’eredità</w:t>
      </w:r>
      <w:r>
        <w:t>. La sua attività si caratterizza per precisione analitica, attenzione al dettaglio e capacità di gestione efficace dei procedimenti.</w:t>
      </w:r>
    </w:p>
    <w:p w14:paraId="06A4E51C" w14:textId="77777777" w:rsidR="007A4EB4" w:rsidRDefault="007A4EB4" w:rsidP="007A4EB4">
      <w:pPr>
        <w:pStyle w:val="NormaleWeb"/>
        <w:jc w:val="both"/>
      </w:pPr>
      <w:r>
        <w:t>La Dott.ssa Tortorici porta nello studio una prospettiva dinamica e internazionale, unita a una forte attitudine alla ricerca giuridica e alla gestione di casi complessi, contribuendo alla qualità e all’affidabilità dei servizi offerti ai clienti.</w:t>
      </w:r>
    </w:p>
    <w:p w14:paraId="64BD95A1" w14:textId="77777777" w:rsidR="00645A4F" w:rsidRDefault="00645A4F"/>
    <w:sectPr w:rsidR="00645A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F9E"/>
    <w:rsid w:val="000F21B5"/>
    <w:rsid w:val="00212F9E"/>
    <w:rsid w:val="006451DC"/>
    <w:rsid w:val="00645A4F"/>
    <w:rsid w:val="00714078"/>
    <w:rsid w:val="007A4EB4"/>
    <w:rsid w:val="00A07659"/>
    <w:rsid w:val="00A2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D3D64D-F844-4333-B435-BDFC02EB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ja-JP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00" w:line="276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212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2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2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2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2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2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2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2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2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2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2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2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2F9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2F9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2F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2F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2F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2F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2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2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2F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2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2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2F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2F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2F9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2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2F9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2F9E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7A4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nfasigrassetto">
    <w:name w:val="Strong"/>
    <w:basedOn w:val="Carpredefinitoparagrafo"/>
    <w:uiPriority w:val="22"/>
    <w:qFormat/>
    <w:rsid w:val="007A4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Puntarello</dc:creator>
  <cp:keywords/>
  <dc:description/>
  <cp:lastModifiedBy>Giovanni Puntarello</cp:lastModifiedBy>
  <cp:revision>2</cp:revision>
  <dcterms:created xsi:type="dcterms:W3CDTF">2026-03-08T15:46:00Z</dcterms:created>
  <dcterms:modified xsi:type="dcterms:W3CDTF">2026-03-08T15:46:00Z</dcterms:modified>
</cp:coreProperties>
</file>