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B38B" w14:textId="77777777" w:rsidR="00614811" w:rsidRDefault="00614811" w:rsidP="00614811">
      <w:pPr>
        <w:pStyle w:val="NormaleWeb"/>
        <w:jc w:val="both"/>
      </w:pPr>
      <w:r>
        <w:t xml:space="preserve">L’Avv. </w:t>
      </w:r>
      <w:r>
        <w:rPr>
          <w:rStyle w:val="Enfasigrassetto"/>
          <w:rFonts w:eastAsiaTheme="majorEastAsia"/>
        </w:rPr>
        <w:t>Paola Saladino</w:t>
      </w:r>
      <w:r>
        <w:t xml:space="preserve"> esercita la professione forense dal 2012 ed è iscritta all’Ordine degli Avvocati di Palermo. Dopo la laurea conseguita presso la </w:t>
      </w:r>
      <w:r>
        <w:rPr>
          <w:rStyle w:val="Enfasigrassetto"/>
          <w:rFonts w:eastAsiaTheme="majorEastAsia"/>
        </w:rPr>
        <w:t>LUISS Guido Carli</w:t>
      </w:r>
      <w:r>
        <w:t xml:space="preserve"> di Roma, con una tesi in Diritto Processuale Penale dedicata al tema della testimonianza indiretta, ha proseguito il proprio percorso formativo con un </w:t>
      </w:r>
      <w:r>
        <w:rPr>
          <w:rStyle w:val="Enfasigrassetto"/>
          <w:rFonts w:eastAsiaTheme="majorEastAsia"/>
        </w:rPr>
        <w:t>Master di II Livello in Management &amp; E</w:t>
      </w:r>
      <w:r>
        <w:rPr>
          <w:rStyle w:val="Enfasigrassetto"/>
          <w:rFonts w:eastAsiaTheme="majorEastAsia"/>
        </w:rPr>
        <w:noBreakHyphen/>
        <w:t>Governance per la Pubblica Amministrazione</w:t>
      </w:r>
      <w:r>
        <w:t xml:space="preserve"> presso l’Università LUM Jean Monnet.</w:t>
      </w:r>
    </w:p>
    <w:p w14:paraId="49B4B244" w14:textId="77777777" w:rsidR="00614811" w:rsidRDefault="00614811" w:rsidP="00614811">
      <w:pPr>
        <w:pStyle w:val="NormaleWeb"/>
        <w:jc w:val="both"/>
      </w:pPr>
      <w:r>
        <w:t>La sua attività professionale si distingue per un approccio rigoroso e al tempo stesso orientato alla comprensione delle esigenze del cliente, siano essi privati, imprese o enti pubblici. Nel corso degli anni ha maturato una solida esperienza in diversi ambiti del diritto civile, dal diritto di famiglia alle successioni, dal diritto del lavoro al settore assicurativo, seguendo con continuità contenziosi complessi e attività di consulenza strategica.</w:t>
      </w:r>
    </w:p>
    <w:p w14:paraId="3427A99B" w14:textId="77777777" w:rsidR="00614811" w:rsidRDefault="00614811" w:rsidP="00614811">
      <w:pPr>
        <w:pStyle w:val="NormaleWeb"/>
        <w:jc w:val="both"/>
      </w:pPr>
      <w:r>
        <w:t xml:space="preserve">Accanto a queste aree tradizionali, l’Avv. Saladino ha sviluppato una competenza specialistica in </w:t>
      </w:r>
      <w:r>
        <w:rPr>
          <w:rStyle w:val="Enfasigrassetto"/>
          <w:rFonts w:eastAsiaTheme="majorEastAsia"/>
        </w:rPr>
        <w:t>diritto amministrativo</w:t>
      </w:r>
      <w:r>
        <w:t xml:space="preserve">, con particolare attenzione alle materie regolate dal </w:t>
      </w:r>
      <w:r>
        <w:rPr>
          <w:rStyle w:val="Enfasigrassetto"/>
          <w:rFonts w:eastAsiaTheme="majorEastAsia"/>
        </w:rPr>
        <w:t>TULPS</w:t>
      </w:r>
      <w:r>
        <w:t>. Assiste privati e operatori del settore sicurezza in procedimenti relativi al rilascio, diniego o revoca del porto d’armi, offrendo un supporto qualificato nei rapporti con le autorità di pubblica sicurezza.</w:t>
      </w:r>
    </w:p>
    <w:p w14:paraId="70A25D0C" w14:textId="77777777" w:rsidR="00614811" w:rsidRDefault="00614811" w:rsidP="00614811">
      <w:pPr>
        <w:pStyle w:val="NormaleWeb"/>
        <w:jc w:val="both"/>
      </w:pPr>
      <w:r>
        <w:t xml:space="preserve">Si occupa inoltre di </w:t>
      </w:r>
      <w:r>
        <w:rPr>
          <w:rStyle w:val="Enfasigrassetto"/>
          <w:rFonts w:eastAsiaTheme="majorEastAsia"/>
        </w:rPr>
        <w:t>diritto sanitario, socio</w:t>
      </w:r>
      <w:r>
        <w:rPr>
          <w:rStyle w:val="Enfasigrassetto"/>
          <w:rFonts w:eastAsiaTheme="majorEastAsia"/>
        </w:rPr>
        <w:noBreakHyphen/>
        <w:t>sanitario e socio</w:t>
      </w:r>
      <w:r>
        <w:rPr>
          <w:rStyle w:val="Enfasigrassetto"/>
          <w:rFonts w:eastAsiaTheme="majorEastAsia"/>
        </w:rPr>
        <w:noBreakHyphen/>
        <w:t>assistenziale</w:t>
      </w:r>
      <w:r>
        <w:t>, affiancando strutture, professionisti ed enti nell’ambito delle autorizzazioni, degli accreditamenti, della responsabilità sanitaria e della tutela dei diritti delle persone fragili.</w:t>
      </w:r>
    </w:p>
    <w:p w14:paraId="1FD888FA" w14:textId="77777777" w:rsidR="00614811" w:rsidRDefault="00614811" w:rsidP="00614811">
      <w:pPr>
        <w:pStyle w:val="NormaleWeb"/>
        <w:jc w:val="both"/>
      </w:pPr>
      <w:r>
        <w:t>La sua attività si caratterizza per attenzione al dettaglio, capacità di analisi e una visione multidisciplinare che le consente di affrontare con efficacia sia la consulenza preventiva sia il contenzioso, in un contesto sempre più complesso e in continua evoluzione.</w:t>
      </w:r>
    </w:p>
    <w:p w14:paraId="10BD600C" w14:textId="77777777" w:rsidR="00645A4F" w:rsidRDefault="00645A4F"/>
    <w:sectPr w:rsidR="00645A4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B5"/>
    <w:rsid w:val="000F21B5"/>
    <w:rsid w:val="00192AB5"/>
    <w:rsid w:val="00614811"/>
    <w:rsid w:val="006451DC"/>
    <w:rsid w:val="00645A4F"/>
    <w:rsid w:val="00A07659"/>
    <w:rsid w:val="00A26501"/>
    <w:rsid w:val="00C93D5B"/>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7ACF81-5FDD-4949-A682-5C407866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ja-JP"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00" w:line="276" w:lineRule="auto"/>
    </w:pPr>
  </w:style>
  <w:style w:type="paragraph" w:styleId="Titolo1">
    <w:name w:val="heading 1"/>
    <w:basedOn w:val="Normale"/>
    <w:next w:val="Normale"/>
    <w:link w:val="Titolo1Carattere"/>
    <w:uiPriority w:val="9"/>
    <w:qFormat/>
    <w:rsid w:val="00192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92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92AB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92AB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92AB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92A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2A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2A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2A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2AB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92AB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92AB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92AB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92AB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92A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2A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2A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2A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2A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2AB5"/>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2A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2AB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2AB5"/>
    <w:rPr>
      <w:i/>
      <w:iCs/>
      <w:color w:val="404040" w:themeColor="text1" w:themeTint="BF"/>
    </w:rPr>
  </w:style>
  <w:style w:type="paragraph" w:styleId="Paragrafoelenco">
    <w:name w:val="List Paragraph"/>
    <w:basedOn w:val="Normale"/>
    <w:uiPriority w:val="34"/>
    <w:qFormat/>
    <w:rsid w:val="00192AB5"/>
    <w:pPr>
      <w:ind w:left="720"/>
      <w:contextualSpacing/>
    </w:pPr>
  </w:style>
  <w:style w:type="character" w:styleId="Enfasiintensa">
    <w:name w:val="Intense Emphasis"/>
    <w:basedOn w:val="Carpredefinitoparagrafo"/>
    <w:uiPriority w:val="21"/>
    <w:qFormat/>
    <w:rsid w:val="00192AB5"/>
    <w:rPr>
      <w:i/>
      <w:iCs/>
      <w:color w:val="2F5496" w:themeColor="accent1" w:themeShade="BF"/>
    </w:rPr>
  </w:style>
  <w:style w:type="paragraph" w:styleId="Citazioneintensa">
    <w:name w:val="Intense Quote"/>
    <w:basedOn w:val="Normale"/>
    <w:next w:val="Normale"/>
    <w:link w:val="CitazioneintensaCarattere"/>
    <w:uiPriority w:val="30"/>
    <w:qFormat/>
    <w:rsid w:val="00192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92AB5"/>
    <w:rPr>
      <w:i/>
      <w:iCs/>
      <w:color w:val="2F5496" w:themeColor="accent1" w:themeShade="BF"/>
    </w:rPr>
  </w:style>
  <w:style w:type="character" w:styleId="Riferimentointenso">
    <w:name w:val="Intense Reference"/>
    <w:basedOn w:val="Carpredefinitoparagrafo"/>
    <w:uiPriority w:val="32"/>
    <w:qFormat/>
    <w:rsid w:val="00192AB5"/>
    <w:rPr>
      <w:b/>
      <w:bCs/>
      <w:smallCaps/>
      <w:color w:val="2F5496" w:themeColor="accent1" w:themeShade="BF"/>
      <w:spacing w:val="5"/>
    </w:rPr>
  </w:style>
  <w:style w:type="paragraph" w:styleId="NormaleWeb">
    <w:name w:val="Normal (Web)"/>
    <w:basedOn w:val="Normale"/>
    <w:uiPriority w:val="99"/>
    <w:semiHidden/>
    <w:unhideWhenUsed/>
    <w:rsid w:val="006148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nfasigrassetto">
    <w:name w:val="Strong"/>
    <w:basedOn w:val="Carpredefinitoparagrafo"/>
    <w:uiPriority w:val="22"/>
    <w:qFormat/>
    <w:rsid w:val="00614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Puntarello</dc:creator>
  <cp:keywords/>
  <dc:description/>
  <cp:lastModifiedBy>Giovanni Puntarello</cp:lastModifiedBy>
  <cp:revision>3</cp:revision>
  <dcterms:created xsi:type="dcterms:W3CDTF">2026-03-08T15:22:00Z</dcterms:created>
  <dcterms:modified xsi:type="dcterms:W3CDTF">2026-03-08T15:22:00Z</dcterms:modified>
</cp:coreProperties>
</file>