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B68A8" w14:textId="3B60D932" w:rsidR="006F1FF3" w:rsidRDefault="006F1FF3" w:rsidP="006F1FF3">
      <w:p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Claudio Iafrate è avvocato del Foro di Roma iscritto all’Albo dell’Ordine degli Avvocati di Roma dal 2016.</w:t>
      </w:r>
    </w:p>
    <w:p w14:paraId="79EED17E" w14:textId="6ED086F4" w:rsidR="006F1FF3" w:rsidRDefault="006F1FF3" w:rsidP="006F1FF3">
      <w:p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Opera nel diritto civile con un’impostazione orientata alla gestione del contenzioso e del rischio legale per privati, imprese e professionisti. La sua attività si concentra sulla consulenza e contrattualistica in ambito societario e assicurativo, nonché sul recupero crediti ed esecuzioni mobiliari e immobiliari, con attenzione agli aspetti concreti che incidono su tempi, costi e risultati.</w:t>
      </w:r>
    </w:p>
    <w:p w14:paraId="41ECA5DC" w14:textId="03CCD362" w:rsidR="006F1FF3" w:rsidRDefault="006F1FF3" w:rsidP="006F1FF3">
      <w:p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È iscritto presso le liste dei Professionisti Delegati alle vendite immobiliari e Custode Giudiziario presso il Tribunale di Roma nonché è inserito nelle liste dei difensori d’ufficio presso il Tribunale di Roma.</w:t>
      </w:r>
    </w:p>
    <w:p w14:paraId="55079207" w14:textId="0EC5B5E6" w:rsidR="006F1FF3" w:rsidRDefault="006F1FF3" w:rsidP="006F1FF3">
      <w:p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In ambito societario segue la redazione e negoziazione dei contratti commerciali e assiste nelle controversie tra soci, società e controparti, intervenendo sia nella fase preventiva </w:t>
      </w:r>
      <w:r w:rsidR="00B37F37" w:rsidRPr="00B37F37">
        <w:rPr>
          <w:rFonts w:ascii="Aptos" w:hAnsi="Aptos"/>
          <w:sz w:val="20"/>
          <w:szCs w:val="20"/>
        </w:rPr>
        <w:t>(assetto dei rapporti e clausole di tutela) sia nella fase patologica (inadempimenti, responsabilità e azioni giudiziali).</w:t>
      </w:r>
      <w:r w:rsidR="00B37F37">
        <w:rPr>
          <w:rFonts w:ascii="Aptos" w:hAnsi="Aptos"/>
          <w:sz w:val="20"/>
          <w:szCs w:val="20"/>
        </w:rPr>
        <w:t xml:space="preserve"> </w:t>
      </w:r>
      <w:r>
        <w:rPr>
          <w:rFonts w:ascii="Aptos" w:hAnsi="Aptos"/>
          <w:sz w:val="20"/>
          <w:szCs w:val="20"/>
        </w:rPr>
        <w:t>In ambito assicurativo affianca il cliente nella gestione di vertenze relative a coperture e sinistri, curando l’istruttoria e trattative e, quando necessario, l’azione giudiziale.</w:t>
      </w:r>
    </w:p>
    <w:p w14:paraId="4E122947" w14:textId="508FA165" w:rsidR="006F1FF3" w:rsidRDefault="006F1FF3" w:rsidP="006F1FF3">
      <w:p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Nel settore esecutivo e immobiliare integra la dimensione contrattuale con quella processuale, assistendo nella contrattualistica collegata a diritti reali e alle vicende dell’immobile e, in caso di inadempimento, nella tutela per il rilascio e il recupero del bene. Segue inoltre le procedure esecutive e le questioni incidentali che possono emergere nel corso della procedura</w:t>
      </w:r>
      <w:r w:rsidR="00B37F37">
        <w:rPr>
          <w:rFonts w:ascii="Aptos" w:hAnsi="Aptos"/>
          <w:sz w:val="20"/>
          <w:szCs w:val="20"/>
        </w:rPr>
        <w:t>. Si occupa di contenzioso condominiale, affiancando amministratori, condomìni e singoli partecipanti nella gestione delle controversie e privilegiando, quando utile, soluzioni stragiudiziali efficaci.</w:t>
      </w:r>
    </w:p>
    <w:p w14:paraId="15FC70E0" w14:textId="25394A55" w:rsidR="006F1FF3" w:rsidRPr="006F1FF3" w:rsidRDefault="00B37F37" w:rsidP="00B37F37">
      <w:p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Affianca a tali ambiti una competenza specifica in diritto d’autore, maturata in consulenze per artisti musicali e per produzioni cinematografiche e audiovisive, con particolare riguardo alla contrattualistica, alle licenze e alla tutela dei diritti di utilizzazione economica. Svolge inoltre consulenza contrattuale per lo sviluppo di app e siti web, predisponendo accordi con sviluppatori e fornitori e la documentazione essenziale di esercizio (termini e condizioni, licenze, clausole su proprietà intellettuale e responsabilità), con inquadramento dei profili privacy connessi ai servizi digitali.</w:t>
      </w:r>
    </w:p>
    <w:p w14:paraId="1082F8C0" w14:textId="0117683F" w:rsidR="006F1FF3" w:rsidRPr="006F1FF3" w:rsidRDefault="006F1FF3" w:rsidP="006F1FF3">
      <w:pPr>
        <w:jc w:val="both"/>
        <w:rPr>
          <w:rFonts w:ascii="Aptos" w:hAnsi="Aptos"/>
          <w:sz w:val="20"/>
          <w:szCs w:val="20"/>
        </w:rPr>
      </w:pPr>
      <w:r w:rsidRPr="006F1FF3">
        <w:rPr>
          <w:rFonts w:ascii="Aptos" w:hAnsi="Aptos"/>
          <w:sz w:val="20"/>
          <w:szCs w:val="20"/>
        </w:rPr>
        <w:t>Nel 2013 ha conseguito la Laurea presso l’Università degli Studi di Roma Tre con tesi in diritto cinese (“L’arbitrato nella Repubblica Popolare Cinese”), approfondendo i profili procedurali delle ADR nel contesto successivo all’ingresso della Cina nella WTO.</w:t>
      </w:r>
    </w:p>
    <w:p w14:paraId="08F24D69" w14:textId="77777777" w:rsidR="009F4991" w:rsidRDefault="009F4991"/>
    <w:sectPr w:rsidR="009F499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F3"/>
    <w:rsid w:val="00041816"/>
    <w:rsid w:val="0020714B"/>
    <w:rsid w:val="00506AA1"/>
    <w:rsid w:val="00541F55"/>
    <w:rsid w:val="005B274E"/>
    <w:rsid w:val="005B7CA2"/>
    <w:rsid w:val="005E69E8"/>
    <w:rsid w:val="00601791"/>
    <w:rsid w:val="006648C4"/>
    <w:rsid w:val="006F1FF3"/>
    <w:rsid w:val="009B27AD"/>
    <w:rsid w:val="009F4991"/>
    <w:rsid w:val="00A17F4E"/>
    <w:rsid w:val="00B37F37"/>
    <w:rsid w:val="00B43A4C"/>
    <w:rsid w:val="00BF76F8"/>
    <w:rsid w:val="00CC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D9897"/>
  <w15:chartTrackingRefBased/>
  <w15:docId w15:val="{39D0A49B-1FAC-4D51-A818-08783ECD9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F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F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F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F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F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F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F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F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F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F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Iafrate</dc:creator>
  <cp:keywords/>
  <dc:description/>
  <cp:lastModifiedBy>Riccardo Sirtori</cp:lastModifiedBy>
  <cp:revision>2</cp:revision>
  <dcterms:created xsi:type="dcterms:W3CDTF">2026-02-26T16:30:00Z</dcterms:created>
  <dcterms:modified xsi:type="dcterms:W3CDTF">2026-02-26T16:30:00Z</dcterms:modified>
</cp:coreProperties>
</file>