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«Слоты обслуживания» предназначена для хранения информации о временных интервалах работы мастеров и записей клиентов на услуги. Каждый слот представляет собой период времени длительностью 1 час с указанием начального времени. Сущность обеспечивает функциональность записи клиентов, управления расписанием мастеров и контроля занятости временных интервалов.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130"/>
        <w:gridCol w:w="789"/>
        <w:gridCol w:w="1662"/>
        <w:gridCol w:w="2278"/>
        <w:gridCol w:w="1917"/>
      </w:tblGrid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slot_id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записи (PK)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slot_date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слота обслуживания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start_time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TIME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начала слота (формат HH:MM)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master_id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мастера (FK → Сотрудники)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client_id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клиента (FK → Клиенты)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service_id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услуги (FK → Услуги)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status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ENUM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'свободен'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слота: 'свободен', 'забронирован', 'выполнен', 'отменен'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created_at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CURRENT_TIMESTAMP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и время создания слота</w:t>
            </w:r>
          </w:p>
        </w:tc>
      </w:tr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updated_at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CURRENT_TIMESTAMP ON UPDATE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и время последнего изменения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Дополнительные ограничения и правила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Комбинация (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slot_date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, 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start_time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, 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master_id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) должна быть уникальной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Если 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client_id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заполнен, то 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service_id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также должен быть заполнен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Слот считается свободным, если 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client_id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= NULL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Длительность каждого слота составляет 1 час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status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может принимать значения: 'свободен', 'забронирован', 'выполнен', 'отменен'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При бронировании слота 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status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меняется на 'забронирован'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После выполнения услуги </w:t>
      </w: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status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меняется на 'выполнен'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Бизнес-правила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Свободные слоты создаются менеджером в рамках UC02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Клиенты могут бронировать только свободные слоты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Один слот может быть забронирован только одним клиентом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Мастер может иметь несколько слотов в один день, но не в одно время</w:t>
      </w:r>
    </w:p>
    <w:sectPr>
      <w:type w:val="nextPage"/>
      <w:pgSz w:w="12240" w:h="15840"/>
      <w:pgMar w:left="1440" w:right="1440" w:gutter="0" w:header="0" w:top="540" w:footer="0" w:bottom="3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1</Pages>
  <Words>244</Words>
  <Characters>1636</Characters>
  <CharactersWithSpaces>1793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2025-06-08T02:09:27Z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