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60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 масштабирования</w:t>
      </w:r>
    </w:p>
    <w:p>
      <w:pPr>
        <w:pStyle w:val="Normal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Потребность: ЕСТЬ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 xml:space="preserve"> - планируется поэтапное расширение с 5% точек сети на всю сеть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Требования к масштабированию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2581"/>
        <w:gridCol w:w="2479"/>
        <w:gridCol w:w="122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Текущее состояние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Целевое состояние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Количественные показатели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Точки сети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5% сети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100% сети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Количество мастеров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75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1500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Количество клиентов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~5000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~100000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Одновременных пользователей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500 (пик)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10000 (пик)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Этапы масштабирования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Первая очередь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5% точек, 75 мастеров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Тестирование системы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месяца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Вторая очередь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25% точек, 375 мастеров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Расширение по регионам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Третья очередь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100% точек, 1500 мастеров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Полное покрытие сети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Технические требования масштабирования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2841"/>
        <w:gridCol w:w="4041"/>
      </w:tblGrid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Компонент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Архитектура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масштабирования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Горизонтальное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Добавление серверов при росте нагрузки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База данных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Шардирование по регионам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Распределение нагрузки и данных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Серверы приложений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Кластер с балансировщиком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Распределение запросов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Время отклика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 должно ухудшаться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Сохранение качества сервиса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Пропускная способность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Линейное увеличение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Пропорционально росту пользователей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Мониторинг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Метрики нагрузки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CPU, память, сеть, диск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Контроль ресурсов</w:t>
            </w:r>
          </w:p>
        </w:tc>
      </w:tr>
      <w:tr>
        <w:trPr/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Автомасштабирование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метрикам нагрузки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Автоматическое добавление ресурсов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Локализация</w:t>
      </w:r>
    </w:p>
    <w:p>
      <w:pPr>
        <w:pStyle w:val="Normal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Потребность: ЕСТЬ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 xml:space="preserve"> - работа во всех регионах РФ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2997"/>
        <w:gridCol w:w="3708"/>
      </w:tblGrid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Аспект локализации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Временные зоны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Поддержка часовых поясов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Все 11 часовых поясов РФ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Автоматическое определение по региону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Рабочее время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Региональные особенности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Настройка по филиалам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Языковая локализация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Основной язык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Русский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Полная локализация интерфейса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Дополнительные языки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Региональные языки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 требованию регионов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Региональные особенности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Праздничные дни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Федеральные + региональные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Календарь по регионам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Тарифы услуг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Региональное ценообразование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Настройка по филиалам</w:t>
            </w:r>
          </w:p>
        </w:tc>
      </w:tr>
      <w:tr>
        <w:trPr/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Контактная информация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Региональные контакты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База данных по регионам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 масштабирования</w:t>
      </w:r>
    </w:p>
    <w:p>
      <w:pPr>
        <w:pStyle w:val="Normal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Потребность: ЕСТЬ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 xml:space="preserve"> - стартап планирует быстрый рост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Требования к масштабированию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2367"/>
        <w:gridCol w:w="2593"/>
        <w:gridCol w:w="1328"/>
      </w:tblGrid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Параметр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Стартовое состояние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Цель через год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Срок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Количественные показатели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Количество курьеров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200-300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3000+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Заказов в день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500-1000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10000-50000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Одновременных курьеров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100-200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1000-2000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Партнеров-поставщиков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50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1000+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Этапы масштабирования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Этап 1 (MVP)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 город, 300 курьеров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Отработка процессов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 месяца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Этап 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3-5 городов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Тиражирование модели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 месяцев</w:t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Этап 3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20+ городов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Федеральное покрытие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Технические требования масштабирования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8"/>
        <w:gridCol w:w="3740"/>
      </w:tblGrid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Компонент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Требование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Архитектура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Микросервисная архитектура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Разделение по функциям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Независимое масштабирование сервисов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API Gateway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Единая точка входа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Управление трафиком и версионирование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Message Queue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Асинхронная обработка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Устойчивость к пиковым нагрузкам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Мобильное приложение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Кросс-платформенность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iOS + Android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Максимальный охват курьеров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Офлайн-режим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Локальное кэширование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Работа при проблемах связи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Push-уведомления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Реального времени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Оперативное информирование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Интеграции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API для партнеров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RESTful API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Подключение новых поставщиков</w:t>
            </w:r>
          </w:p>
        </w:tc>
      </w:tr>
      <w:tr>
        <w:trPr/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бухгалтерии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Автоматическая синхронизация</w:t>
            </w:r>
          </w:p>
        </w:tc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Масштабирование финансовых операций</w:t>
            </w:r>
          </w:p>
        </w:tc>
      </w:tr>
    </w:tbl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Локализация</w:t>
      </w:r>
    </w:p>
    <w:p>
      <w:pPr>
        <w:pStyle w:val="Normal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Потребность: МОЖЕТ ВОЗНИКНУТЬ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 xml:space="preserve"> - при выходе на международные рынки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2860"/>
        <w:gridCol w:w="3743"/>
      </w:tblGrid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Аспект локализации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Текущая потребность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Будущие требования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Географическое расширение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Текущий охват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Россия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СНГ, Восточная Европа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Временные зоны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РФ (11 зон)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+3-4 зоны при расширении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Языковая поддержка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Основной язык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Русский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 английский для международных рынков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Интерфейс курьеров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Русский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 местные языки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Регулятивные требования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Текущие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ФЗ-152 (персональные данные)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GDPR, местное законодательство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Налогообложение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НДС РФ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Местные налоговые системы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Валютная поддержка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 w:val="false"/>
                <w:i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Текущая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Рубли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 местные валюты</w:t>
            </w:r>
          </w:p>
        </w:tc>
      </w:tr>
      <w:tr>
        <w:trPr/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Платежные системы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Российские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+ международные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Сравнительная таблица масштабирования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9"/>
        <w:gridCol w:w="2587"/>
        <w:gridCol w:w="3264"/>
      </w:tblGrid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Аспект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Барбершоп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Доставка заказов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роста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Плановый, поэтапный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Экспоненциальный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Сложность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Критичность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Средняя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Высокая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Горизонт планирования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 месяцев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12-24 месяца</w:t>
            </w:r>
          </w:p>
        </w:tc>
      </w:tr>
      <w:tr>
        <w:trPr>
          <w:trHeight w:val="155" w:hRule="atLeast"/>
        </w:trPr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Основные риски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Архитектурные ограничения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Инвестиции в инфраструктуру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Умеренные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Значительные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План масштабирования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Барбершоп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1-3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Стабилизация работы в пилотных точках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4-6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Расширение на 25% сети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7-9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Добавление новых регионов</w:t>
      </w:r>
    </w:p>
    <w:p>
      <w:pPr>
        <w:pStyle w:val="Normal"/>
        <w:numPr>
          <w:ilvl w:val="0"/>
          <w:numId w:val="1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10-12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Полное покрытие сети</w:t>
      </w:r>
    </w:p>
    <w:p>
      <w:pPr>
        <w:pStyle w:val="Heading3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Доставка заказов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1-3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Отработка MVP в одном городе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4-6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Горизонтальное расширение на 3-5 городов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7-9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Вертикальное масштабирование функций</w:t>
      </w:r>
    </w:p>
    <w:p>
      <w:pPr>
        <w:pStyle w:val="Normal"/>
        <w:numPr>
          <w:ilvl w:val="0"/>
          <w:numId w:val="2"/>
        </w:numPr>
        <w:spacing w:before="0" w:after="0"/>
        <w:rPr>
          <w:sz w:val="18"/>
          <w:szCs w:val="18"/>
          <w:lang w:val="zxx" w:eastAsia="zxx" w:bidi="zxx"/>
        </w:rPr>
      </w:pPr>
      <w:r>
        <w:rPr>
          <w:b/>
          <w:i w:val="false"/>
          <w:strike w:val="false"/>
          <w:dstrike w:val="false"/>
          <w:sz w:val="18"/>
          <w:szCs w:val="18"/>
          <w:lang w:val="zxx" w:eastAsia="zxx" w:bidi="zxx"/>
        </w:rPr>
        <w:t>Месяцы 10-12</w:t>
      </w: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: Федеральное покрытие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3</Pages>
  <Words>537</Words>
  <Characters>3903</Characters>
  <CharactersWithSpaces>4204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2025-06-13T21:18:44Z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