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3AB8" w14:textId="77777777" w:rsidR="008C4EE3" w:rsidRDefault="00000000">
      <w:pPr>
        <w:jc w:val="center"/>
      </w:pPr>
      <w:r>
        <w:rPr>
          <w:b/>
          <w:sz w:val="32"/>
        </w:rPr>
        <w:t>SALESTORM | SYSCRAFTERS 2026</w:t>
      </w:r>
    </w:p>
    <w:p w14:paraId="063D9457" w14:textId="74200E46" w:rsidR="008C4EE3" w:rsidRDefault="00000000">
      <w:pPr>
        <w:jc w:val="center"/>
      </w:pPr>
      <w:r>
        <w:rPr>
          <w:b/>
          <w:sz w:val="28"/>
        </w:rPr>
        <w:t>16. Scalability &amp; Reliability Design</w:t>
      </w:r>
    </w:p>
    <w:p w14:paraId="03708BE0" w14:textId="77777777" w:rsidR="008C4EE3" w:rsidRDefault="00000000">
      <w:pPr>
        <w:pStyle w:val="Heading2"/>
      </w:pPr>
      <w:r>
        <w:t>16.1 Scalability</w:t>
      </w:r>
    </w:p>
    <w:p w14:paraId="0FB2C1AE" w14:textId="77777777" w:rsidR="008C4EE3" w:rsidRDefault="00000000">
      <w:pPr>
        <w:pStyle w:val="ListBullet"/>
      </w:pPr>
      <w:r>
        <w:t>Stateless services scale horizontally behind the load balancer.</w:t>
      </w:r>
    </w:p>
    <w:p w14:paraId="57BCF79E" w14:textId="77777777" w:rsidR="008C4EE3" w:rsidRDefault="00000000">
      <w:pPr>
        <w:pStyle w:val="ListBullet"/>
      </w:pPr>
      <w:r>
        <w:t>CDN and Redis absorb read-heavy product/catalog traffic.</w:t>
      </w:r>
    </w:p>
    <w:p w14:paraId="07744636" w14:textId="77777777" w:rsidR="008C4EE3" w:rsidRDefault="00000000">
      <w:pPr>
        <w:pStyle w:val="ListBullet"/>
      </w:pPr>
      <w:r>
        <w:t>Broker buffers burst traffic.</w:t>
      </w:r>
    </w:p>
    <w:p w14:paraId="12B648FB" w14:textId="77777777" w:rsidR="008C4EE3" w:rsidRDefault="00000000">
      <w:pPr>
        <w:pStyle w:val="ListBullet"/>
      </w:pPr>
      <w:r>
        <w:t>STG isolates the scarce hot-SKU contention domain.</w:t>
      </w:r>
    </w:p>
    <w:p w14:paraId="761A83F8" w14:textId="77777777" w:rsidR="008C4EE3" w:rsidRDefault="00000000">
      <w:pPr>
        <w:pStyle w:val="ListBullet"/>
      </w:pPr>
      <w:r>
        <w:t>SKU-specific queues allow independent products to progress independently.</w:t>
      </w:r>
    </w:p>
    <w:p w14:paraId="7245C989" w14:textId="77777777" w:rsidR="008C4EE3" w:rsidRDefault="00000000">
      <w:pPr>
        <w:pStyle w:val="ListBullet"/>
      </w:pPr>
      <w:r>
        <w:t>Read replicas can support safe read-heavy queries; inventory writes remain authoritative on SQL.</w:t>
      </w:r>
    </w:p>
    <w:p w14:paraId="7A518421" w14:textId="77777777" w:rsidR="008C4EE3" w:rsidRDefault="00000000">
      <w:pPr>
        <w:pStyle w:val="ListBullet"/>
      </w:pPr>
      <w:r>
        <w:t>The challenge references normal traffic around 10k RPS and flash spikes up to 500k RPS; the design therefore combines horizontal scaling with admission control and buffering.</w:t>
      </w:r>
    </w:p>
    <w:p w14:paraId="2446CD77" w14:textId="77777777" w:rsidR="008C4EE3" w:rsidRDefault="00000000">
      <w:pPr>
        <w:pStyle w:val="Heading2"/>
      </w:pPr>
      <w:r>
        <w:t>16.2 Reliability Controls</w:t>
      </w:r>
    </w:p>
    <w:tbl>
      <w:tblPr>
        <w:tblStyle w:val="TableGrid"/>
        <w:tblW w:w="9237" w:type="dxa"/>
        <w:jc w:val="center"/>
        <w:tblLook w:val="04A0" w:firstRow="1" w:lastRow="0" w:firstColumn="1" w:lastColumn="0" w:noHBand="0" w:noVBand="1"/>
      </w:tblPr>
      <w:tblGrid>
        <w:gridCol w:w="4458"/>
        <w:gridCol w:w="4779"/>
      </w:tblGrid>
      <w:tr w:rsidR="008C4EE3" w14:paraId="23B00989" w14:textId="77777777" w:rsidTr="00942CC7">
        <w:trPr>
          <w:trHeight w:val="557"/>
          <w:jc w:val="center"/>
        </w:trPr>
        <w:tc>
          <w:tcPr>
            <w:tcW w:w="4458" w:type="dxa"/>
            <w:shd w:val="clear" w:color="auto" w:fill="D9E2F3"/>
          </w:tcPr>
          <w:p w14:paraId="4B45223A" w14:textId="77777777" w:rsidR="008C4EE3" w:rsidRDefault="00000000">
            <w:r>
              <w:rPr>
                <w:b/>
              </w:rPr>
              <w:t>Control</w:t>
            </w:r>
          </w:p>
        </w:tc>
        <w:tc>
          <w:tcPr>
            <w:tcW w:w="4779" w:type="dxa"/>
            <w:shd w:val="clear" w:color="auto" w:fill="D9E2F3"/>
          </w:tcPr>
          <w:p w14:paraId="363ED64D" w14:textId="77777777" w:rsidR="008C4EE3" w:rsidRDefault="00000000">
            <w:r>
              <w:rPr>
                <w:b/>
              </w:rPr>
              <w:t>Use</w:t>
            </w:r>
          </w:p>
        </w:tc>
      </w:tr>
      <w:tr w:rsidR="008C4EE3" w14:paraId="14E2E2F8" w14:textId="77777777" w:rsidTr="00942CC7">
        <w:trPr>
          <w:trHeight w:val="583"/>
          <w:jc w:val="center"/>
        </w:trPr>
        <w:tc>
          <w:tcPr>
            <w:tcW w:w="4458" w:type="dxa"/>
            <w:vAlign w:val="center"/>
          </w:tcPr>
          <w:p w14:paraId="336AA423" w14:textId="77777777" w:rsidR="008C4EE3" w:rsidRDefault="00000000">
            <w:r>
              <w:t>Timeout</w:t>
            </w:r>
          </w:p>
        </w:tc>
        <w:tc>
          <w:tcPr>
            <w:tcW w:w="4779" w:type="dxa"/>
            <w:vAlign w:val="center"/>
          </w:tcPr>
          <w:p w14:paraId="1D27A49D" w14:textId="77777777" w:rsidR="008C4EE3" w:rsidRDefault="00000000">
            <w:r>
              <w:t>Bound dependency waiting</w:t>
            </w:r>
          </w:p>
        </w:tc>
      </w:tr>
      <w:tr w:rsidR="008C4EE3" w14:paraId="4E4C2383" w14:textId="77777777" w:rsidTr="00942CC7">
        <w:trPr>
          <w:trHeight w:val="557"/>
          <w:jc w:val="center"/>
        </w:trPr>
        <w:tc>
          <w:tcPr>
            <w:tcW w:w="4458" w:type="dxa"/>
            <w:vAlign w:val="center"/>
          </w:tcPr>
          <w:p w14:paraId="5F2A05F4" w14:textId="77777777" w:rsidR="008C4EE3" w:rsidRDefault="00000000">
            <w:r>
              <w:t>Retry</w:t>
            </w:r>
          </w:p>
        </w:tc>
        <w:tc>
          <w:tcPr>
            <w:tcW w:w="4779" w:type="dxa"/>
            <w:vAlign w:val="center"/>
          </w:tcPr>
          <w:p w14:paraId="6A3354E1" w14:textId="77777777" w:rsidR="008C4EE3" w:rsidRDefault="00000000">
            <w:r>
              <w:t>Recover transient failures with backoff</w:t>
            </w:r>
          </w:p>
        </w:tc>
      </w:tr>
      <w:tr w:rsidR="008C4EE3" w14:paraId="6CF38D34" w14:textId="77777777" w:rsidTr="00942CC7">
        <w:trPr>
          <w:trHeight w:val="557"/>
          <w:jc w:val="center"/>
        </w:trPr>
        <w:tc>
          <w:tcPr>
            <w:tcW w:w="4458" w:type="dxa"/>
            <w:vAlign w:val="center"/>
          </w:tcPr>
          <w:p w14:paraId="59FB4862" w14:textId="77777777" w:rsidR="008C4EE3" w:rsidRDefault="00000000">
            <w:r>
              <w:t>Idempotency</w:t>
            </w:r>
          </w:p>
        </w:tc>
        <w:tc>
          <w:tcPr>
            <w:tcW w:w="4779" w:type="dxa"/>
            <w:vAlign w:val="center"/>
          </w:tcPr>
          <w:p w14:paraId="1814B1BE" w14:textId="77777777" w:rsidR="008C4EE3" w:rsidRDefault="00000000">
            <w:r>
              <w:t>Prevent duplicate effects</w:t>
            </w:r>
          </w:p>
        </w:tc>
      </w:tr>
      <w:tr w:rsidR="008C4EE3" w14:paraId="35C3E04D" w14:textId="77777777" w:rsidTr="00942CC7">
        <w:trPr>
          <w:trHeight w:val="583"/>
          <w:jc w:val="center"/>
        </w:trPr>
        <w:tc>
          <w:tcPr>
            <w:tcW w:w="4458" w:type="dxa"/>
            <w:vAlign w:val="center"/>
          </w:tcPr>
          <w:p w14:paraId="567CF328" w14:textId="77777777" w:rsidR="008C4EE3" w:rsidRDefault="00000000">
            <w:r>
              <w:t>Circuit breaker</w:t>
            </w:r>
          </w:p>
        </w:tc>
        <w:tc>
          <w:tcPr>
            <w:tcW w:w="4779" w:type="dxa"/>
            <w:vAlign w:val="center"/>
          </w:tcPr>
          <w:p w14:paraId="12893BB2" w14:textId="77777777" w:rsidR="008C4EE3" w:rsidRDefault="00000000">
            <w:r>
              <w:t>Stop hammering unhealthy provider</w:t>
            </w:r>
          </w:p>
        </w:tc>
      </w:tr>
      <w:tr w:rsidR="008C4EE3" w14:paraId="3AC425BD" w14:textId="77777777" w:rsidTr="00942CC7">
        <w:trPr>
          <w:trHeight w:val="557"/>
          <w:jc w:val="center"/>
        </w:trPr>
        <w:tc>
          <w:tcPr>
            <w:tcW w:w="4458" w:type="dxa"/>
            <w:vAlign w:val="center"/>
          </w:tcPr>
          <w:p w14:paraId="3680AC23" w14:textId="77777777" w:rsidR="008C4EE3" w:rsidRDefault="00000000">
            <w:r>
              <w:t>DLQ</w:t>
            </w:r>
          </w:p>
        </w:tc>
        <w:tc>
          <w:tcPr>
            <w:tcW w:w="4779" w:type="dxa"/>
            <w:vAlign w:val="center"/>
          </w:tcPr>
          <w:p w14:paraId="01587D1B" w14:textId="77777777" w:rsidR="008C4EE3" w:rsidRDefault="00000000">
            <w:r>
              <w:t>Quarantine repeatedly failing messages</w:t>
            </w:r>
          </w:p>
        </w:tc>
      </w:tr>
      <w:tr w:rsidR="008C4EE3" w14:paraId="6D3B3258" w14:textId="77777777" w:rsidTr="00942CC7">
        <w:trPr>
          <w:trHeight w:val="1142"/>
          <w:jc w:val="center"/>
        </w:trPr>
        <w:tc>
          <w:tcPr>
            <w:tcW w:w="4458" w:type="dxa"/>
            <w:vAlign w:val="center"/>
          </w:tcPr>
          <w:p w14:paraId="11E88E98" w14:textId="77777777" w:rsidR="008C4EE3" w:rsidRDefault="00000000">
            <w:r>
              <w:t>Reconciliation</w:t>
            </w:r>
          </w:p>
        </w:tc>
        <w:tc>
          <w:tcPr>
            <w:tcW w:w="4779" w:type="dxa"/>
            <w:vAlign w:val="center"/>
          </w:tcPr>
          <w:p w14:paraId="21B30E60" w14:textId="77777777" w:rsidR="008C4EE3" w:rsidRDefault="00000000">
            <w:r>
              <w:t>Repair payment/order/reservation mismatches</w:t>
            </w:r>
          </w:p>
        </w:tc>
      </w:tr>
      <w:tr w:rsidR="008C4EE3" w14:paraId="01083953" w14:textId="77777777" w:rsidTr="00942CC7">
        <w:trPr>
          <w:trHeight w:val="1142"/>
          <w:jc w:val="center"/>
        </w:trPr>
        <w:tc>
          <w:tcPr>
            <w:tcW w:w="4458" w:type="dxa"/>
            <w:vAlign w:val="center"/>
          </w:tcPr>
          <w:p w14:paraId="13074006" w14:textId="77777777" w:rsidR="008C4EE3" w:rsidRDefault="00000000">
            <w:r>
              <w:t>Compensation</w:t>
            </w:r>
          </w:p>
        </w:tc>
        <w:tc>
          <w:tcPr>
            <w:tcW w:w="4779" w:type="dxa"/>
            <w:vAlign w:val="center"/>
          </w:tcPr>
          <w:p w14:paraId="182FE8F2" w14:textId="77777777" w:rsidR="008C4EE3" w:rsidRDefault="00000000">
            <w:r>
              <w:t>Release inventory when workflow cannot complete</w:t>
            </w:r>
          </w:p>
        </w:tc>
      </w:tr>
      <w:tr w:rsidR="008C4EE3" w14:paraId="312343A2" w14:textId="77777777" w:rsidTr="00942CC7">
        <w:trPr>
          <w:trHeight w:val="557"/>
          <w:jc w:val="center"/>
        </w:trPr>
        <w:tc>
          <w:tcPr>
            <w:tcW w:w="4458" w:type="dxa"/>
            <w:vAlign w:val="center"/>
          </w:tcPr>
          <w:p w14:paraId="338BDB7A" w14:textId="77777777" w:rsidR="008C4EE3" w:rsidRDefault="00000000">
            <w:r>
              <w:t>Health checks</w:t>
            </w:r>
          </w:p>
        </w:tc>
        <w:tc>
          <w:tcPr>
            <w:tcW w:w="4779" w:type="dxa"/>
            <w:vAlign w:val="center"/>
          </w:tcPr>
          <w:p w14:paraId="176FA540" w14:textId="77777777" w:rsidR="008C4EE3" w:rsidRDefault="00000000">
            <w:r>
              <w:t>Remove unhealthy instances</w:t>
            </w:r>
          </w:p>
        </w:tc>
      </w:tr>
      <w:tr w:rsidR="008C4EE3" w14:paraId="60C7C3A0" w14:textId="77777777" w:rsidTr="00942CC7">
        <w:trPr>
          <w:trHeight w:val="557"/>
          <w:jc w:val="center"/>
        </w:trPr>
        <w:tc>
          <w:tcPr>
            <w:tcW w:w="4458" w:type="dxa"/>
            <w:vAlign w:val="center"/>
          </w:tcPr>
          <w:p w14:paraId="30E66299" w14:textId="77777777" w:rsidR="008C4EE3" w:rsidRDefault="00000000">
            <w:r>
              <w:t>Backpressure</w:t>
            </w:r>
          </w:p>
        </w:tc>
        <w:tc>
          <w:tcPr>
            <w:tcW w:w="4779" w:type="dxa"/>
            <w:vAlign w:val="center"/>
          </w:tcPr>
          <w:p w14:paraId="11616762" w14:textId="77777777" w:rsidR="008C4EE3" w:rsidRDefault="00000000">
            <w:r>
              <w:t>Protect downstream capacity</w:t>
            </w:r>
          </w:p>
        </w:tc>
      </w:tr>
    </w:tbl>
    <w:p w14:paraId="6AA8A8FA" w14:textId="77777777" w:rsidR="008C4EE3" w:rsidRDefault="008C4EE3"/>
    <w:p w14:paraId="63676ADD" w14:textId="77777777" w:rsidR="008C4EE3" w:rsidRDefault="00000000">
      <w:pPr>
        <w:pStyle w:val="Heading2"/>
      </w:pPr>
      <w:r>
        <w:lastRenderedPageBreak/>
        <w:t>16.3 Practical Stress Tests</w:t>
      </w:r>
    </w:p>
    <w:tbl>
      <w:tblPr>
        <w:tblStyle w:val="TableGrid"/>
        <w:tblW w:w="8891" w:type="dxa"/>
        <w:jc w:val="center"/>
        <w:tblLook w:val="04A0" w:firstRow="1" w:lastRow="0" w:firstColumn="1" w:lastColumn="0" w:noHBand="0" w:noVBand="1"/>
      </w:tblPr>
      <w:tblGrid>
        <w:gridCol w:w="4366"/>
        <w:gridCol w:w="4525"/>
      </w:tblGrid>
      <w:tr w:rsidR="008C4EE3" w14:paraId="2531202D" w14:textId="77777777" w:rsidTr="00942CC7">
        <w:trPr>
          <w:trHeight w:val="547"/>
          <w:jc w:val="center"/>
        </w:trPr>
        <w:tc>
          <w:tcPr>
            <w:tcW w:w="4366" w:type="dxa"/>
            <w:shd w:val="clear" w:color="auto" w:fill="D9E2F3"/>
          </w:tcPr>
          <w:p w14:paraId="117B9DA5" w14:textId="77777777" w:rsidR="008C4EE3" w:rsidRDefault="00000000">
            <w:r>
              <w:rPr>
                <w:b/>
              </w:rPr>
              <w:t>Scenario</w:t>
            </w:r>
          </w:p>
        </w:tc>
        <w:tc>
          <w:tcPr>
            <w:tcW w:w="4525" w:type="dxa"/>
            <w:shd w:val="clear" w:color="auto" w:fill="D9E2F3"/>
          </w:tcPr>
          <w:p w14:paraId="4E5B71FF" w14:textId="77777777" w:rsidR="008C4EE3" w:rsidRDefault="00000000">
            <w:r>
              <w:rPr>
                <w:b/>
              </w:rPr>
              <w:t>Expected result</w:t>
            </w:r>
          </w:p>
        </w:tc>
      </w:tr>
      <w:tr w:rsidR="008C4EE3" w14:paraId="69736648" w14:textId="77777777" w:rsidTr="00942CC7">
        <w:trPr>
          <w:trHeight w:val="573"/>
          <w:jc w:val="center"/>
        </w:trPr>
        <w:tc>
          <w:tcPr>
            <w:tcW w:w="4366" w:type="dxa"/>
            <w:vAlign w:val="center"/>
          </w:tcPr>
          <w:p w14:paraId="68AC1E56" w14:textId="77777777" w:rsidR="008C4EE3" w:rsidRDefault="00000000">
            <w:r>
              <w:t>10,000 users / 100 stock</w:t>
            </w:r>
          </w:p>
        </w:tc>
        <w:tc>
          <w:tcPr>
            <w:tcW w:w="4525" w:type="dxa"/>
            <w:vAlign w:val="center"/>
          </w:tcPr>
          <w:p w14:paraId="2E14A7BA" w14:textId="77777777" w:rsidR="008C4EE3" w:rsidRDefault="00000000">
            <w:r>
              <w:t>≤100 sold, zero oversell</w:t>
            </w:r>
          </w:p>
        </w:tc>
      </w:tr>
      <w:tr w:rsidR="008C4EE3" w14:paraId="0CDF0EB9" w14:textId="77777777" w:rsidTr="00942CC7">
        <w:trPr>
          <w:trHeight w:val="547"/>
          <w:jc w:val="center"/>
        </w:trPr>
        <w:tc>
          <w:tcPr>
            <w:tcW w:w="4366" w:type="dxa"/>
            <w:vAlign w:val="center"/>
          </w:tcPr>
          <w:p w14:paraId="0B27BE96" w14:textId="77777777" w:rsidR="008C4EE3" w:rsidRDefault="00000000">
            <w:r>
              <w:t>95% payment success / 5% failure</w:t>
            </w:r>
          </w:p>
        </w:tc>
        <w:tc>
          <w:tcPr>
            <w:tcW w:w="4525" w:type="dxa"/>
            <w:vAlign w:val="center"/>
          </w:tcPr>
          <w:p w14:paraId="0EC73F96" w14:textId="77777777" w:rsidR="008C4EE3" w:rsidRDefault="00000000">
            <w:r>
              <w:t>Failed reservations released</w:t>
            </w:r>
          </w:p>
        </w:tc>
      </w:tr>
      <w:tr w:rsidR="008C4EE3" w14:paraId="1540EA5D" w14:textId="77777777" w:rsidTr="00942CC7">
        <w:trPr>
          <w:trHeight w:val="547"/>
          <w:jc w:val="center"/>
        </w:trPr>
        <w:tc>
          <w:tcPr>
            <w:tcW w:w="4366" w:type="dxa"/>
            <w:vAlign w:val="center"/>
          </w:tcPr>
          <w:p w14:paraId="64448FA5" w14:textId="77777777" w:rsidR="008C4EE3" w:rsidRDefault="00000000">
            <w:r>
              <w:t>2% duplicate requests</w:t>
            </w:r>
          </w:p>
        </w:tc>
        <w:tc>
          <w:tcPr>
            <w:tcW w:w="4525" w:type="dxa"/>
            <w:vAlign w:val="center"/>
          </w:tcPr>
          <w:p w14:paraId="35478EE0" w14:textId="77777777" w:rsidR="008C4EE3" w:rsidRDefault="00000000">
            <w:r>
              <w:t>No duplicate successful charge/order</w:t>
            </w:r>
          </w:p>
        </w:tc>
      </w:tr>
      <w:tr w:rsidR="008C4EE3" w14:paraId="2FCEABD5" w14:textId="77777777" w:rsidTr="00942CC7">
        <w:trPr>
          <w:trHeight w:val="573"/>
          <w:jc w:val="center"/>
        </w:trPr>
        <w:tc>
          <w:tcPr>
            <w:tcW w:w="4366" w:type="dxa"/>
            <w:vAlign w:val="center"/>
          </w:tcPr>
          <w:p w14:paraId="766BB418" w14:textId="77777777" w:rsidR="008C4EE3" w:rsidRDefault="00000000">
            <w:r>
              <w:t>Order Service unavailable 30 sec</w:t>
            </w:r>
          </w:p>
        </w:tc>
        <w:tc>
          <w:tcPr>
            <w:tcW w:w="4525" w:type="dxa"/>
            <w:vAlign w:val="center"/>
          </w:tcPr>
          <w:p w14:paraId="1CE8F368" w14:textId="77777777" w:rsidR="008C4EE3" w:rsidRDefault="00000000">
            <w:r>
              <w:t>Event retry; one eventual valid order</w:t>
            </w:r>
          </w:p>
        </w:tc>
      </w:tr>
      <w:tr w:rsidR="008C4EE3" w14:paraId="6202E781" w14:textId="77777777" w:rsidTr="00942CC7">
        <w:trPr>
          <w:trHeight w:val="547"/>
          <w:jc w:val="center"/>
        </w:trPr>
        <w:tc>
          <w:tcPr>
            <w:tcW w:w="4366" w:type="dxa"/>
            <w:vAlign w:val="center"/>
          </w:tcPr>
          <w:p w14:paraId="26A2D60F" w14:textId="77777777" w:rsidR="008C4EE3" w:rsidRDefault="00000000">
            <w:r>
              <w:t>+50x traffic</w:t>
            </w:r>
          </w:p>
        </w:tc>
        <w:tc>
          <w:tcPr>
            <w:tcW w:w="4525" w:type="dxa"/>
            <w:vAlign w:val="center"/>
          </w:tcPr>
          <w:p w14:paraId="4FFAC275" w14:textId="77777777" w:rsidR="008C4EE3" w:rsidRDefault="00000000">
            <w:r>
              <w:t>Controlled admission and queueing</w:t>
            </w:r>
          </w:p>
        </w:tc>
      </w:tr>
      <w:tr w:rsidR="008C4EE3" w14:paraId="2452F788" w14:textId="77777777" w:rsidTr="00942CC7">
        <w:trPr>
          <w:trHeight w:val="547"/>
          <w:jc w:val="center"/>
        </w:trPr>
        <w:tc>
          <w:tcPr>
            <w:tcW w:w="4366" w:type="dxa"/>
            <w:vAlign w:val="center"/>
          </w:tcPr>
          <w:p w14:paraId="24783A5F" w14:textId="77777777" w:rsidR="008C4EE3" w:rsidRDefault="00000000">
            <w:r>
              <w:t>Inventory DB failure</w:t>
            </w:r>
          </w:p>
        </w:tc>
        <w:tc>
          <w:tcPr>
            <w:tcW w:w="4525" w:type="dxa"/>
            <w:vAlign w:val="center"/>
          </w:tcPr>
          <w:p w14:paraId="336427AD" w14:textId="77777777" w:rsidR="008C4EE3" w:rsidRDefault="00000000">
            <w:r>
              <w:t>Fail closed; do not falsely allocate stock</w:t>
            </w:r>
          </w:p>
        </w:tc>
      </w:tr>
      <w:tr w:rsidR="008C4EE3" w14:paraId="4DEDE3DA" w14:textId="77777777" w:rsidTr="00942CC7">
        <w:trPr>
          <w:trHeight w:val="547"/>
          <w:jc w:val="center"/>
        </w:trPr>
        <w:tc>
          <w:tcPr>
            <w:tcW w:w="4366" w:type="dxa"/>
            <w:vAlign w:val="center"/>
          </w:tcPr>
          <w:p w14:paraId="1DEEF486" w14:textId="77777777" w:rsidR="008C4EE3" w:rsidRDefault="00000000">
            <w:r>
              <w:t>Payment provider failure</w:t>
            </w:r>
          </w:p>
        </w:tc>
        <w:tc>
          <w:tcPr>
            <w:tcW w:w="4525" w:type="dxa"/>
            <w:vAlign w:val="center"/>
          </w:tcPr>
          <w:p w14:paraId="73278388" w14:textId="77777777" w:rsidR="008C4EE3" w:rsidRDefault="00000000">
            <w:r>
              <w:t>Circuit breaker + safe retry/reconciliation</w:t>
            </w:r>
          </w:p>
        </w:tc>
      </w:tr>
    </w:tbl>
    <w:p w14:paraId="3A4B0E51" w14:textId="77777777" w:rsidR="008C4EE3" w:rsidRDefault="008C4EE3"/>
    <w:p w14:paraId="6C711762" w14:textId="77777777" w:rsidR="008C4EE3" w:rsidRDefault="00000000">
      <w:r>
        <w:br w:type="page"/>
      </w:r>
    </w:p>
    <w:sectPr w:rsidR="008C4EE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FC52" w14:textId="77777777" w:rsidR="00352F5E" w:rsidRDefault="00352F5E">
      <w:pPr>
        <w:spacing w:after="0" w:line="240" w:lineRule="auto"/>
      </w:pPr>
      <w:r>
        <w:separator/>
      </w:r>
    </w:p>
  </w:endnote>
  <w:endnote w:type="continuationSeparator" w:id="0">
    <w:p w14:paraId="1D65B7CE" w14:textId="77777777" w:rsidR="00352F5E" w:rsidRDefault="00352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4719A" w14:textId="77777777" w:rsidR="008C4EE3" w:rsidRDefault="00000000">
    <w:pPr>
      <w:pStyle w:val="Footer"/>
      <w:jc w:val="center"/>
    </w:pPr>
    <w:r>
      <w:rPr>
        <w:sz w:val="16"/>
      </w:rPr>
      <w:t>SALESTORM | SYSCRAFTERS 2026 — Topic 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8016" w14:textId="77777777" w:rsidR="00352F5E" w:rsidRDefault="00352F5E">
      <w:pPr>
        <w:spacing w:after="0" w:line="240" w:lineRule="auto"/>
      </w:pPr>
      <w:r>
        <w:separator/>
      </w:r>
    </w:p>
  </w:footnote>
  <w:footnote w:type="continuationSeparator" w:id="0">
    <w:p w14:paraId="72B86068" w14:textId="77777777" w:rsidR="00352F5E" w:rsidRDefault="00352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087456">
    <w:abstractNumId w:val="8"/>
  </w:num>
  <w:num w:numId="2" w16cid:durableId="267464972">
    <w:abstractNumId w:val="6"/>
  </w:num>
  <w:num w:numId="3" w16cid:durableId="540477408">
    <w:abstractNumId w:val="5"/>
  </w:num>
  <w:num w:numId="4" w16cid:durableId="1286739851">
    <w:abstractNumId w:val="4"/>
  </w:num>
  <w:num w:numId="5" w16cid:durableId="431365194">
    <w:abstractNumId w:val="7"/>
  </w:num>
  <w:num w:numId="6" w16cid:durableId="1713845417">
    <w:abstractNumId w:val="3"/>
  </w:num>
  <w:num w:numId="7" w16cid:durableId="173570575">
    <w:abstractNumId w:val="2"/>
  </w:num>
  <w:num w:numId="8" w16cid:durableId="1447775509">
    <w:abstractNumId w:val="1"/>
  </w:num>
  <w:num w:numId="9" w16cid:durableId="1478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1D5"/>
    <w:rsid w:val="0015074B"/>
    <w:rsid w:val="0029639D"/>
    <w:rsid w:val="00326F90"/>
    <w:rsid w:val="00352F5E"/>
    <w:rsid w:val="008C4EE3"/>
    <w:rsid w:val="00942C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A4BE9"/>
  <w14:defaultImageDpi w14:val="300"/>
  <w15:docId w15:val="{EF46742F-F8C2-4A5F-949B-80B209D6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2026-10-05T07:46:00Z</dcterms:created>
  <dcterms:modified xsi:type="dcterms:W3CDTF">2026-10-05T07:46:00Z</dcterms:modified>
  <cp:category/>
</cp:coreProperties>
</file>