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2798" w14:textId="77777777" w:rsidR="00DE29BA" w:rsidRDefault="00000000">
      <w:pPr>
        <w:jc w:val="center"/>
      </w:pPr>
      <w:r>
        <w:rPr>
          <w:b/>
          <w:sz w:val="32"/>
        </w:rPr>
        <w:t>SALESTORM | SYSCRAFTERS 2026</w:t>
      </w:r>
    </w:p>
    <w:p w14:paraId="5724C397" w14:textId="245BECB1" w:rsidR="00DE29BA" w:rsidRDefault="00000000">
      <w:pPr>
        <w:jc w:val="center"/>
      </w:pPr>
      <w:r>
        <w:rPr>
          <w:b/>
          <w:sz w:val="28"/>
        </w:rPr>
        <w:t>18. Architecture Decision Record</w:t>
      </w:r>
    </w:p>
    <w:p w14:paraId="38705BBC" w14:textId="77777777" w:rsidR="00DE29BA" w:rsidRDefault="00000000">
      <w:pPr>
        <w:pStyle w:val="Heading2"/>
      </w:pPr>
      <w:r>
        <w:t>ADR-001 — Inventory Concurrency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2227"/>
        <w:gridCol w:w="2176"/>
        <w:gridCol w:w="2084"/>
      </w:tblGrid>
      <w:tr w:rsidR="00DE29BA" w14:paraId="37D95442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497C1A02" w14:textId="77777777" w:rsidR="00DE29BA" w:rsidRDefault="00000000">
            <w:r>
              <w:rPr>
                <w:b/>
              </w:rPr>
              <w:t>Option</w:t>
            </w:r>
          </w:p>
        </w:tc>
        <w:tc>
          <w:tcPr>
            <w:tcW w:w="2556" w:type="dxa"/>
            <w:shd w:val="clear" w:color="auto" w:fill="D9E2F3"/>
          </w:tcPr>
          <w:p w14:paraId="38FE88FB" w14:textId="77777777" w:rsidR="00DE29BA" w:rsidRDefault="00000000">
            <w:r>
              <w:rPr>
                <w:b/>
              </w:rPr>
              <w:t>Pros</w:t>
            </w:r>
          </w:p>
        </w:tc>
        <w:tc>
          <w:tcPr>
            <w:tcW w:w="2556" w:type="dxa"/>
            <w:shd w:val="clear" w:color="auto" w:fill="D9E2F3"/>
          </w:tcPr>
          <w:p w14:paraId="17D9DF40" w14:textId="77777777" w:rsidR="00DE29BA" w:rsidRDefault="00000000">
            <w:r>
              <w:rPr>
                <w:b/>
              </w:rPr>
              <w:t>Cons</w:t>
            </w:r>
          </w:p>
        </w:tc>
        <w:tc>
          <w:tcPr>
            <w:tcW w:w="2556" w:type="dxa"/>
            <w:shd w:val="clear" w:color="auto" w:fill="D9E2F3"/>
          </w:tcPr>
          <w:p w14:paraId="1C565A77" w14:textId="77777777" w:rsidR="00DE29BA" w:rsidRDefault="00000000">
            <w:r>
              <w:rPr>
                <w:b/>
              </w:rPr>
              <w:t>Decision</w:t>
            </w:r>
          </w:p>
        </w:tc>
      </w:tr>
      <w:tr w:rsidR="00DE29BA" w14:paraId="64D159AA" w14:textId="77777777">
        <w:trPr>
          <w:jc w:val="center"/>
        </w:trPr>
        <w:tc>
          <w:tcPr>
            <w:tcW w:w="2556" w:type="dxa"/>
            <w:vAlign w:val="center"/>
          </w:tcPr>
          <w:p w14:paraId="27823754" w14:textId="77777777" w:rsidR="00DE29BA" w:rsidRDefault="00000000">
            <w:r>
              <w:t>Atomic direct decrement</w:t>
            </w:r>
          </w:p>
        </w:tc>
        <w:tc>
          <w:tcPr>
            <w:tcW w:w="2556" w:type="dxa"/>
            <w:vAlign w:val="center"/>
          </w:tcPr>
          <w:p w14:paraId="499152B4" w14:textId="77777777" w:rsidR="00DE29BA" w:rsidRDefault="00000000">
            <w:r>
              <w:t>Simple</w:t>
            </w:r>
          </w:p>
        </w:tc>
        <w:tc>
          <w:tcPr>
            <w:tcW w:w="2556" w:type="dxa"/>
            <w:vAlign w:val="center"/>
          </w:tcPr>
          <w:p w14:paraId="671E9E47" w14:textId="77777777" w:rsidR="00DE29BA" w:rsidRDefault="00000000">
            <w:r>
              <w:t>Hot-row contention</w:t>
            </w:r>
          </w:p>
        </w:tc>
        <w:tc>
          <w:tcPr>
            <w:tcW w:w="2556" w:type="dxa"/>
            <w:vAlign w:val="center"/>
          </w:tcPr>
          <w:p w14:paraId="1CAAF04C" w14:textId="77777777" w:rsidR="00DE29BA" w:rsidRDefault="00000000">
            <w:r>
              <w:t>No</w:t>
            </w:r>
          </w:p>
        </w:tc>
      </w:tr>
      <w:tr w:rsidR="00DE29BA" w14:paraId="6D53BD2B" w14:textId="77777777">
        <w:trPr>
          <w:jc w:val="center"/>
        </w:trPr>
        <w:tc>
          <w:tcPr>
            <w:tcW w:w="2556" w:type="dxa"/>
            <w:vAlign w:val="center"/>
          </w:tcPr>
          <w:p w14:paraId="4E69C897" w14:textId="77777777" w:rsidR="00DE29BA" w:rsidRDefault="00000000">
            <w:r>
              <w:t>Optimistic locking</w:t>
            </w:r>
          </w:p>
        </w:tc>
        <w:tc>
          <w:tcPr>
            <w:tcW w:w="2556" w:type="dxa"/>
            <w:vAlign w:val="center"/>
          </w:tcPr>
          <w:p w14:paraId="4B413008" w14:textId="77777777" w:rsidR="00DE29BA" w:rsidRDefault="00000000">
            <w:r>
              <w:t>Correct with versions</w:t>
            </w:r>
          </w:p>
        </w:tc>
        <w:tc>
          <w:tcPr>
            <w:tcW w:w="2556" w:type="dxa"/>
            <w:vAlign w:val="center"/>
          </w:tcPr>
          <w:p w14:paraId="1EDC8151" w14:textId="77777777" w:rsidR="00DE29BA" w:rsidRDefault="00000000">
            <w:r>
              <w:t>Retry storm under contention</w:t>
            </w:r>
          </w:p>
        </w:tc>
        <w:tc>
          <w:tcPr>
            <w:tcW w:w="2556" w:type="dxa"/>
            <w:vAlign w:val="center"/>
          </w:tcPr>
          <w:p w14:paraId="0C59D52C" w14:textId="77777777" w:rsidR="00DE29BA" w:rsidRDefault="00000000">
            <w:r>
              <w:t>No</w:t>
            </w:r>
          </w:p>
        </w:tc>
      </w:tr>
      <w:tr w:rsidR="00DE29BA" w14:paraId="490DDE96" w14:textId="77777777">
        <w:trPr>
          <w:jc w:val="center"/>
        </w:trPr>
        <w:tc>
          <w:tcPr>
            <w:tcW w:w="2556" w:type="dxa"/>
            <w:vAlign w:val="center"/>
          </w:tcPr>
          <w:p w14:paraId="408CFFB3" w14:textId="77777777" w:rsidR="00DE29BA" w:rsidRDefault="00000000">
            <w:r>
              <w:t>Pessimistic locking</w:t>
            </w:r>
          </w:p>
        </w:tc>
        <w:tc>
          <w:tcPr>
            <w:tcW w:w="2556" w:type="dxa"/>
            <w:vAlign w:val="center"/>
          </w:tcPr>
          <w:p w14:paraId="7C3A5136" w14:textId="77777777" w:rsidR="00DE29BA" w:rsidRDefault="00000000">
            <w:r>
              <w:t>Deterministic</w:t>
            </w:r>
          </w:p>
        </w:tc>
        <w:tc>
          <w:tcPr>
            <w:tcW w:w="2556" w:type="dxa"/>
            <w:vAlign w:val="center"/>
          </w:tcPr>
          <w:p w14:paraId="644A86FE" w14:textId="77777777" w:rsidR="00DE29BA" w:rsidRDefault="00000000">
            <w:r>
              <w:t>Lock waits</w:t>
            </w:r>
          </w:p>
        </w:tc>
        <w:tc>
          <w:tcPr>
            <w:tcW w:w="2556" w:type="dxa"/>
            <w:vAlign w:val="center"/>
          </w:tcPr>
          <w:p w14:paraId="1A299A37" w14:textId="77777777" w:rsidR="00DE29BA" w:rsidRDefault="00000000">
            <w:r>
              <w:t>No</w:t>
            </w:r>
          </w:p>
        </w:tc>
      </w:tr>
      <w:tr w:rsidR="00DE29BA" w14:paraId="1ED35747" w14:textId="77777777">
        <w:trPr>
          <w:jc w:val="center"/>
        </w:trPr>
        <w:tc>
          <w:tcPr>
            <w:tcW w:w="2556" w:type="dxa"/>
            <w:vAlign w:val="center"/>
          </w:tcPr>
          <w:p w14:paraId="3420F995" w14:textId="77777777" w:rsidR="00DE29BA" w:rsidRDefault="00000000">
            <w:r>
              <w:t>STG + queue + token ledger</w:t>
            </w:r>
          </w:p>
        </w:tc>
        <w:tc>
          <w:tcPr>
            <w:tcW w:w="2556" w:type="dxa"/>
            <w:vAlign w:val="center"/>
          </w:tcPr>
          <w:p w14:paraId="7013A1D7" w14:textId="77777777" w:rsidR="00DE29BA" w:rsidRDefault="00000000">
            <w:r>
              <w:t>Controlled contention; deterministic; auditable</w:t>
            </w:r>
          </w:p>
        </w:tc>
        <w:tc>
          <w:tcPr>
            <w:tcW w:w="2556" w:type="dxa"/>
            <w:vAlign w:val="center"/>
          </w:tcPr>
          <w:p w14:paraId="3C34B7B5" w14:textId="77777777" w:rsidR="00DE29BA" w:rsidRDefault="00000000">
            <w:r>
              <w:t>More components</w:t>
            </w:r>
          </w:p>
        </w:tc>
        <w:tc>
          <w:tcPr>
            <w:tcW w:w="2556" w:type="dxa"/>
            <w:vAlign w:val="center"/>
          </w:tcPr>
          <w:p w14:paraId="4D78654F" w14:textId="77777777" w:rsidR="00DE29BA" w:rsidRDefault="00000000">
            <w:r>
              <w:t>YES</w:t>
            </w:r>
          </w:p>
        </w:tc>
      </w:tr>
    </w:tbl>
    <w:p w14:paraId="2CC7EE86" w14:textId="77777777" w:rsidR="00DE29BA" w:rsidRDefault="00DE29BA"/>
    <w:p w14:paraId="0D165935" w14:textId="77777777" w:rsidR="00DE29BA" w:rsidRDefault="00000000">
      <w:pPr>
        <w:pStyle w:val="Heading2"/>
      </w:pPr>
      <w:r>
        <w:t>ADR-002 — SQL vs NoSQL</w:t>
      </w:r>
    </w:p>
    <w:p w14:paraId="167AD338" w14:textId="77777777" w:rsidR="00ED6952" w:rsidRPr="00ED6952" w:rsidRDefault="00ED6952" w:rsidP="00ED6952">
      <w:pPr>
        <w:rPr>
          <w:b/>
          <w:bCs/>
          <w:lang w:val="en-IN"/>
        </w:rPr>
      </w:pPr>
      <w:r w:rsidRPr="00ED6952">
        <w:rPr>
          <w:b/>
          <w:bCs/>
          <w:lang w:val="en-IN"/>
        </w:rPr>
        <w:t>Selected</w:t>
      </w:r>
    </w:p>
    <w:p w14:paraId="0105CBB6" w14:textId="77777777" w:rsidR="00ED6952" w:rsidRPr="00ED6952" w:rsidRDefault="00ED6952" w:rsidP="00ED6952">
      <w:pPr>
        <w:rPr>
          <w:lang w:val="en-IN"/>
        </w:rPr>
      </w:pPr>
      <w:r w:rsidRPr="00ED6952">
        <w:rPr>
          <w:lang w:val="en-IN"/>
        </w:rPr>
        <w:t>SQL for transactional inventory/order/payment records.</w:t>
      </w:r>
    </w:p>
    <w:p w14:paraId="5664B9B7" w14:textId="77777777" w:rsidR="00ED6952" w:rsidRPr="00ED6952" w:rsidRDefault="00ED6952" w:rsidP="00ED6952">
      <w:pPr>
        <w:rPr>
          <w:b/>
          <w:bCs/>
          <w:lang w:val="en-IN"/>
        </w:rPr>
      </w:pPr>
      <w:r w:rsidRPr="00ED6952">
        <w:rPr>
          <w:b/>
          <w:bCs/>
          <w:lang w:val="en-IN"/>
        </w:rPr>
        <w:t>Reason</w:t>
      </w:r>
    </w:p>
    <w:p w14:paraId="71358EF3" w14:textId="77777777" w:rsidR="00ED6952" w:rsidRPr="00ED6952" w:rsidRDefault="00ED6952" w:rsidP="00ED6952">
      <w:pPr>
        <w:rPr>
          <w:lang w:val="en-IN"/>
        </w:rPr>
      </w:pPr>
      <w:r w:rsidRPr="00ED6952">
        <w:rPr>
          <w:lang w:val="en-IN"/>
        </w:rPr>
        <w:t>Inventory reservation requires strong transactional guarantees.</w:t>
      </w:r>
    </w:p>
    <w:p w14:paraId="2EB9F40B" w14:textId="77777777" w:rsidR="00ED6952" w:rsidRPr="00ED6952" w:rsidRDefault="00ED6952" w:rsidP="00ED6952">
      <w:pPr>
        <w:rPr>
          <w:lang w:val="en-IN"/>
        </w:rPr>
      </w:pPr>
      <w:r w:rsidRPr="00ED6952">
        <w:rPr>
          <w:lang w:val="en-IN"/>
        </w:rPr>
        <w:t>NoSQL/cache can still be used for:</w:t>
      </w:r>
    </w:p>
    <w:p w14:paraId="2ED415E6" w14:textId="77777777" w:rsidR="00ED6952" w:rsidRPr="00ED6952" w:rsidRDefault="00ED6952" w:rsidP="00ED6952">
      <w:pPr>
        <w:numPr>
          <w:ilvl w:val="0"/>
          <w:numId w:val="10"/>
        </w:numPr>
        <w:rPr>
          <w:lang w:val="en-IN"/>
        </w:rPr>
      </w:pPr>
      <w:r w:rsidRPr="00ED6952">
        <w:rPr>
          <w:lang w:val="en-IN"/>
        </w:rPr>
        <w:t xml:space="preserve">Product reads </w:t>
      </w:r>
    </w:p>
    <w:p w14:paraId="1958F279" w14:textId="77777777" w:rsidR="00ED6952" w:rsidRPr="00ED6952" w:rsidRDefault="00ED6952" w:rsidP="00ED6952">
      <w:pPr>
        <w:numPr>
          <w:ilvl w:val="0"/>
          <w:numId w:val="10"/>
        </w:numPr>
        <w:rPr>
          <w:lang w:val="en-IN"/>
        </w:rPr>
      </w:pPr>
      <w:r w:rsidRPr="00ED6952">
        <w:rPr>
          <w:lang w:val="en-IN"/>
        </w:rPr>
        <w:t xml:space="preserve">Sessions </w:t>
      </w:r>
    </w:p>
    <w:p w14:paraId="045ABE3D" w14:textId="77777777" w:rsidR="00ED6952" w:rsidRPr="00ED6952" w:rsidRDefault="00ED6952" w:rsidP="00ED6952">
      <w:pPr>
        <w:numPr>
          <w:ilvl w:val="0"/>
          <w:numId w:val="10"/>
        </w:numPr>
        <w:rPr>
          <w:lang w:val="en-IN"/>
        </w:rPr>
      </w:pPr>
      <w:r w:rsidRPr="00ED6952">
        <w:rPr>
          <w:lang w:val="en-IN"/>
        </w:rPr>
        <w:t>Non-critical high-volume reads</w:t>
      </w:r>
    </w:p>
    <w:p w14:paraId="5B225261" w14:textId="77777777" w:rsidR="00ED6952" w:rsidRPr="00ED6952" w:rsidRDefault="00ED6952" w:rsidP="00ED6952"/>
    <w:p w14:paraId="2D690785" w14:textId="77777777" w:rsidR="00DE29BA" w:rsidRDefault="00000000">
      <w:r>
        <w:t>Use transactional SQL for correctness-critical inventory, reservation, payment and order facts. NoSQL/cache can support flexible or high-volume non-authoritative workloads.</w:t>
      </w:r>
    </w:p>
    <w:p w14:paraId="315234D0" w14:textId="77777777" w:rsidR="00DE29BA" w:rsidRDefault="00000000">
      <w:pPr>
        <w:pStyle w:val="Heading2"/>
      </w:pPr>
      <w:r>
        <w:t>ADR-003 — Sync vs Async</w:t>
      </w:r>
    </w:p>
    <w:p w14:paraId="4A0ED088" w14:textId="77777777" w:rsidR="00ED6952" w:rsidRPr="00ED6952" w:rsidRDefault="00ED6952" w:rsidP="00ED695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6"/>
        <w:gridCol w:w="2835"/>
        <w:gridCol w:w="2729"/>
      </w:tblGrid>
      <w:tr w:rsidR="00DE29BA" w14:paraId="408A91E9" w14:textId="77777777">
        <w:trPr>
          <w:jc w:val="center"/>
        </w:trPr>
        <w:tc>
          <w:tcPr>
            <w:tcW w:w="3408" w:type="dxa"/>
            <w:shd w:val="clear" w:color="auto" w:fill="D9E2F3"/>
          </w:tcPr>
          <w:p w14:paraId="39C0CB95" w14:textId="77777777" w:rsidR="00DE29BA" w:rsidRDefault="00000000">
            <w:r>
              <w:rPr>
                <w:b/>
              </w:rPr>
              <w:t>Workflow</w:t>
            </w:r>
          </w:p>
        </w:tc>
        <w:tc>
          <w:tcPr>
            <w:tcW w:w="3408" w:type="dxa"/>
            <w:shd w:val="clear" w:color="auto" w:fill="D9E2F3"/>
          </w:tcPr>
          <w:p w14:paraId="344ED990" w14:textId="77777777" w:rsidR="00DE29BA" w:rsidRDefault="00000000">
            <w:r>
              <w:rPr>
                <w:b/>
              </w:rPr>
              <w:t>Decision</w:t>
            </w:r>
          </w:p>
        </w:tc>
        <w:tc>
          <w:tcPr>
            <w:tcW w:w="3408" w:type="dxa"/>
            <w:shd w:val="clear" w:color="auto" w:fill="D9E2F3"/>
          </w:tcPr>
          <w:p w14:paraId="4FFD3943" w14:textId="77777777" w:rsidR="00DE29BA" w:rsidRDefault="00000000">
            <w:r>
              <w:rPr>
                <w:b/>
              </w:rPr>
              <w:t>Reason</w:t>
            </w:r>
          </w:p>
        </w:tc>
      </w:tr>
      <w:tr w:rsidR="00DE29BA" w14:paraId="1EEB4476" w14:textId="77777777">
        <w:trPr>
          <w:jc w:val="center"/>
        </w:trPr>
        <w:tc>
          <w:tcPr>
            <w:tcW w:w="3408" w:type="dxa"/>
            <w:vAlign w:val="center"/>
          </w:tcPr>
          <w:p w14:paraId="1F0C77EE" w14:textId="77777777" w:rsidR="00DE29BA" w:rsidRDefault="00000000">
            <w:r>
              <w:t>Reservation result</w:t>
            </w:r>
          </w:p>
        </w:tc>
        <w:tc>
          <w:tcPr>
            <w:tcW w:w="3408" w:type="dxa"/>
            <w:vAlign w:val="center"/>
          </w:tcPr>
          <w:p w14:paraId="3C61A899" w14:textId="77777777" w:rsidR="00DE29BA" w:rsidRDefault="00000000">
            <w:r>
              <w:t>Synchronous</w:t>
            </w:r>
          </w:p>
        </w:tc>
        <w:tc>
          <w:tcPr>
            <w:tcW w:w="3408" w:type="dxa"/>
            <w:vAlign w:val="center"/>
          </w:tcPr>
          <w:p w14:paraId="098DC5D5" w14:textId="77777777" w:rsidR="00DE29BA" w:rsidRDefault="00000000">
            <w:r>
              <w:t>Customer needs immediate outcome</w:t>
            </w:r>
          </w:p>
        </w:tc>
      </w:tr>
      <w:tr w:rsidR="00DE29BA" w14:paraId="0E3ED7F8" w14:textId="77777777">
        <w:trPr>
          <w:jc w:val="center"/>
        </w:trPr>
        <w:tc>
          <w:tcPr>
            <w:tcW w:w="3408" w:type="dxa"/>
            <w:vAlign w:val="center"/>
          </w:tcPr>
          <w:p w14:paraId="42AE32AA" w14:textId="77777777" w:rsidR="00DE29BA" w:rsidRDefault="00000000">
            <w:r>
              <w:t>Payment authorization</w:t>
            </w:r>
          </w:p>
        </w:tc>
        <w:tc>
          <w:tcPr>
            <w:tcW w:w="3408" w:type="dxa"/>
            <w:vAlign w:val="center"/>
          </w:tcPr>
          <w:p w14:paraId="2FDA8EC2" w14:textId="77777777" w:rsidR="00DE29BA" w:rsidRDefault="00000000">
            <w:r>
              <w:t>Bounded synchronous</w:t>
            </w:r>
          </w:p>
        </w:tc>
        <w:tc>
          <w:tcPr>
            <w:tcW w:w="3408" w:type="dxa"/>
            <w:vAlign w:val="center"/>
          </w:tcPr>
          <w:p w14:paraId="6EA36AA3" w14:textId="77777777" w:rsidR="00DE29BA" w:rsidRDefault="00000000">
            <w:r>
              <w:t>Customer needs payment outcome</w:t>
            </w:r>
          </w:p>
        </w:tc>
      </w:tr>
      <w:tr w:rsidR="00DE29BA" w14:paraId="2ADB1FF7" w14:textId="77777777">
        <w:trPr>
          <w:jc w:val="center"/>
        </w:trPr>
        <w:tc>
          <w:tcPr>
            <w:tcW w:w="3408" w:type="dxa"/>
            <w:vAlign w:val="center"/>
          </w:tcPr>
          <w:p w14:paraId="1BEFF62D" w14:textId="77777777" w:rsidR="00DE29BA" w:rsidRDefault="00000000">
            <w:r>
              <w:t>Order after payment</w:t>
            </w:r>
          </w:p>
        </w:tc>
        <w:tc>
          <w:tcPr>
            <w:tcW w:w="3408" w:type="dxa"/>
            <w:vAlign w:val="center"/>
          </w:tcPr>
          <w:p w14:paraId="5FC3CED9" w14:textId="77777777" w:rsidR="00DE29BA" w:rsidRDefault="00000000">
            <w:r>
              <w:t>Asynchronous event</w:t>
            </w:r>
          </w:p>
        </w:tc>
        <w:tc>
          <w:tcPr>
            <w:tcW w:w="3408" w:type="dxa"/>
            <w:vAlign w:val="center"/>
          </w:tcPr>
          <w:p w14:paraId="75E34501" w14:textId="77777777" w:rsidR="00DE29BA" w:rsidRDefault="00000000">
            <w:r>
              <w:t xml:space="preserve">Survive Order Service </w:t>
            </w:r>
            <w:r>
              <w:lastRenderedPageBreak/>
              <w:t>outage</w:t>
            </w:r>
          </w:p>
        </w:tc>
      </w:tr>
      <w:tr w:rsidR="00DE29BA" w14:paraId="7B5F01EA" w14:textId="77777777">
        <w:trPr>
          <w:jc w:val="center"/>
        </w:trPr>
        <w:tc>
          <w:tcPr>
            <w:tcW w:w="3408" w:type="dxa"/>
            <w:vAlign w:val="center"/>
          </w:tcPr>
          <w:p w14:paraId="33661016" w14:textId="77777777" w:rsidR="00DE29BA" w:rsidRDefault="00000000">
            <w:r>
              <w:lastRenderedPageBreak/>
              <w:t>Shipment/notification</w:t>
            </w:r>
          </w:p>
        </w:tc>
        <w:tc>
          <w:tcPr>
            <w:tcW w:w="3408" w:type="dxa"/>
            <w:vAlign w:val="center"/>
          </w:tcPr>
          <w:p w14:paraId="6D83EF29" w14:textId="77777777" w:rsidR="00DE29BA" w:rsidRDefault="00000000">
            <w:r>
              <w:t>Asynchronous</w:t>
            </w:r>
          </w:p>
        </w:tc>
        <w:tc>
          <w:tcPr>
            <w:tcW w:w="3408" w:type="dxa"/>
            <w:vAlign w:val="center"/>
          </w:tcPr>
          <w:p w14:paraId="797AE98F" w14:textId="77777777" w:rsidR="00DE29BA" w:rsidRDefault="00000000">
            <w:r>
              <w:t>Not required to block purchase</w:t>
            </w:r>
          </w:p>
        </w:tc>
      </w:tr>
    </w:tbl>
    <w:p w14:paraId="06D96EAA" w14:textId="77777777" w:rsidR="00DE29BA" w:rsidRDefault="00DE29BA"/>
    <w:p w14:paraId="5E771E96" w14:textId="77777777" w:rsidR="00DE29BA" w:rsidRDefault="00000000">
      <w:pPr>
        <w:pStyle w:val="Heading2"/>
      </w:pPr>
      <w:r>
        <w:t>ADR-004 — Cache Authority</w:t>
      </w:r>
    </w:p>
    <w:p w14:paraId="1ADD4E7D" w14:textId="77777777" w:rsidR="00DE29BA" w:rsidRDefault="00000000">
      <w:r>
        <w:t>Redis can provide a fast availability view, but final allocation always checks the authoritative token ledger.</w:t>
      </w:r>
    </w:p>
    <w:p w14:paraId="3718DDC3" w14:textId="77777777" w:rsidR="00DE29BA" w:rsidRDefault="00000000">
      <w:r>
        <w:br w:type="page"/>
      </w:r>
    </w:p>
    <w:sectPr w:rsidR="00DE29B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5A1E" w14:textId="77777777" w:rsidR="007A48AC" w:rsidRDefault="007A48AC">
      <w:pPr>
        <w:spacing w:after="0" w:line="240" w:lineRule="auto"/>
      </w:pPr>
      <w:r>
        <w:separator/>
      </w:r>
    </w:p>
  </w:endnote>
  <w:endnote w:type="continuationSeparator" w:id="0">
    <w:p w14:paraId="4B0B0045" w14:textId="77777777" w:rsidR="007A48AC" w:rsidRDefault="007A4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F8B2" w14:textId="77777777" w:rsidR="00DE29BA" w:rsidRDefault="00000000">
    <w:pPr>
      <w:pStyle w:val="Footer"/>
      <w:jc w:val="center"/>
    </w:pPr>
    <w:r>
      <w:rPr>
        <w:sz w:val="16"/>
      </w:rPr>
      <w:t>SALESTORM | SYSCRAFTERS 2026 — Topic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D646" w14:textId="77777777" w:rsidR="007A48AC" w:rsidRDefault="007A48AC">
      <w:pPr>
        <w:spacing w:after="0" w:line="240" w:lineRule="auto"/>
      </w:pPr>
      <w:r>
        <w:separator/>
      </w:r>
    </w:p>
  </w:footnote>
  <w:footnote w:type="continuationSeparator" w:id="0">
    <w:p w14:paraId="1FD841FB" w14:textId="77777777" w:rsidR="007A48AC" w:rsidRDefault="007A4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A2806"/>
    <w:multiLevelType w:val="multilevel"/>
    <w:tmpl w:val="5F6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04531">
    <w:abstractNumId w:val="8"/>
  </w:num>
  <w:num w:numId="2" w16cid:durableId="575171565">
    <w:abstractNumId w:val="6"/>
  </w:num>
  <w:num w:numId="3" w16cid:durableId="1457137636">
    <w:abstractNumId w:val="5"/>
  </w:num>
  <w:num w:numId="4" w16cid:durableId="886449585">
    <w:abstractNumId w:val="4"/>
  </w:num>
  <w:num w:numId="5" w16cid:durableId="1484158499">
    <w:abstractNumId w:val="7"/>
  </w:num>
  <w:num w:numId="6" w16cid:durableId="1261525245">
    <w:abstractNumId w:val="3"/>
  </w:num>
  <w:num w:numId="7" w16cid:durableId="1830050313">
    <w:abstractNumId w:val="2"/>
  </w:num>
  <w:num w:numId="8" w16cid:durableId="1839810385">
    <w:abstractNumId w:val="1"/>
  </w:num>
  <w:num w:numId="9" w16cid:durableId="1487623065">
    <w:abstractNumId w:val="0"/>
  </w:num>
  <w:num w:numId="10" w16cid:durableId="5447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8EE"/>
    <w:rsid w:val="007A48AC"/>
    <w:rsid w:val="00AA1D8D"/>
    <w:rsid w:val="00B47730"/>
    <w:rsid w:val="00CB0664"/>
    <w:rsid w:val="00DE29BA"/>
    <w:rsid w:val="00ED6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2596"/>
  <w14:defaultImageDpi w14:val="300"/>
  <w15:docId w15:val="{6CC3F9AB-F309-4B3B-AE2D-2E769F51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2026-10-05T08:56:00Z</dcterms:created>
  <dcterms:modified xsi:type="dcterms:W3CDTF">2026-10-05T08:56:00Z</dcterms:modified>
  <cp:category/>
</cp:coreProperties>
</file>