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רכזנו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Rule="auto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255" w:lineRule="auto"/>
        <w:rPr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:30 </w:t>
      </w:r>
      <w:r w:rsidDel="00000000" w:rsidR="00000000" w:rsidRPr="00000000">
        <w:rPr>
          <w:rtl w:val="1"/>
        </w:rPr>
        <w:t xml:space="preserve">ביוני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31 </w:t>
      </w: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255" w:lineRule="auto"/>
        <w:rPr/>
      </w:pP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Fonts w:ascii="PT Mono" w:cs="PT Mono" w:eastAsia="PT Mono" w:hAnsi="PT Mono"/>
          <w:rtl w:val="1"/>
        </w:rPr>
        <w:t xml:space="preserve">: 47,400 ₪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Fonts w:ascii="PT Mono" w:cs="PT Mono" w:eastAsia="PT Mono" w:hAnsi="PT Mono"/>
          <w:rtl w:val="1"/>
        </w:rPr>
        <w:t xml:space="preserve">: 23,700 ₪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Fonts w:ascii="PT Mono" w:cs="PT Mono" w:eastAsia="PT Mono" w:hAnsi="PT Mono"/>
          <w:rtl w:val="1"/>
        </w:rPr>
        <w:t xml:space="preserve">: 11,850 ₪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Fonts w:ascii="PT Mono" w:cs="PT Mono" w:eastAsia="PT Mono" w:hAnsi="PT Mono"/>
          <w:rtl w:val="1"/>
        </w:rPr>
        <w:t xml:space="preserve">: 5,925 ₪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القدس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לבנת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וארווה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ssistant">
    <w:embedRegular w:fontKey="{00000000-0000-0000-0000-000000000000}" r:id="rId1" w:subsetted="0"/>
    <w:embedBold w:fontKey="{00000000-0000-0000-0000-000000000000}" r:id="rId2" w:subsetted="0"/>
  </w:font>
  <w:font w:name="PT Mono">
    <w:embedRegular w:fontKey="{00000000-0000-0000-0000-000000000000}" r:id="rId3" w:subsetted="0"/>
  </w:font>
  <w:font w:name="Jomhuria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PTMono-regular.ttf"/><Relationship Id="rId4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