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11, 2023 (12:00:51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multiple goals:</w:t>
      </w:r>
    </w:p>
    <w:p>
      <w:pPr>
        <w:numPr>
          <w:ilvl w:val="0"/>
          <w:numId w:val="1001"/>
        </w:numPr>
        <w:pStyle w:val="Compact"/>
      </w:pPr>
      <w:r>
        <w:t xml:space="preserve">To introduce you to the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datatype,</w:t>
      </w:r>
    </w:p>
    <w:p>
      <w:pPr>
        <w:numPr>
          <w:ilvl w:val="0"/>
          <w:numId w:val="1001"/>
        </w:numPr>
        <w:pStyle w:val="Compact"/>
      </w:pPr>
      <w:r>
        <w:t xml:space="preserve">To introduce you to the different representations of characters,</w:t>
      </w:r>
    </w:p>
    <w:p>
      <w:pPr>
        <w:numPr>
          <w:ilvl w:val="0"/>
          <w:numId w:val="1001"/>
        </w:numPr>
        <w:pStyle w:val="Compact"/>
      </w:pPr>
      <w:r>
        <w:t xml:space="preserve">To exemplify how to convert between representations of characters,</w:t>
      </w:r>
    </w:p>
    <w:p>
      <w:pPr>
        <w:numPr>
          <w:ilvl w:val="0"/>
          <w:numId w:val="1001"/>
        </w:numPr>
        <w:pStyle w:val="Compact"/>
      </w:pPr>
      <w:r>
        <w:t xml:space="preserve">To introduce the order on characters,</w:t>
      </w:r>
    </w:p>
    <w:p>
      <w:pPr>
        <w:numPr>
          <w:ilvl w:val="0"/>
          <w:numId w:val="1001"/>
        </w:numPr>
        <w:pStyle w:val="Compact"/>
      </w:pPr>
      <w:r>
        <w:t xml:space="preserve">(Optional) To illustrate the comparison of strings.</w:t>
      </w:r>
    </w:p>
    <w:bookmarkStart w:id="23" w:name="warm-up"/>
    <w:p>
      <w:pPr>
        <w:pStyle w:val="Heading1"/>
      </w:pPr>
      <w:r>
        <w:t xml:space="preserve">Warm Up</w:t>
      </w:r>
    </w:p>
    <w:p>
      <w:pPr>
        <w:pStyle w:val="FirstParagraph"/>
      </w:pPr>
      <w:r>
        <w:t xml:space="preserve">Characters are represented by integers: you can read</w:t>
      </w:r>
      <w:r>
        <w:t xml:space="preserve"> </w:t>
      </w:r>
      <w:hyperlink r:id="rId21">
        <w:r>
          <w:rPr>
            <w:rStyle w:val="Hyperlink"/>
          </w:rPr>
          <w:t xml:space="preserve">on wikipedia</w:t>
        </w:r>
      </w:hyperlink>
      <w:r>
        <w:t xml:space="preserve"> </w:t>
      </w:r>
      <w:r>
        <w:t xml:space="preserve">a mapping between the glyphs (i.e., space,</w:t>
      </w:r>
      <w:r>
        <w:t xml:space="preserve"> </w:t>
      </w:r>
      <w:r>
        <w:rPr>
          <w:rStyle w:val="NormalTok"/>
        </w:rPr>
        <w:t xml:space="preserve">A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  <w:r>
        <w:t xml:space="preserve">, etc.) and decimal values, 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</w:t>
      </w:r>
    </w:p>
    <w:p>
      <w:pPr>
        <w:pStyle w:val="BodyText"/>
      </w:pPr>
      <w:r>
        <w:t xml:space="preserve">In the referenced table</w:t>
      </w:r>
      <w:r>
        <w:t xml:space="preserve"> </w:t>
      </w:r>
      <w:hyperlink r:id="rId21">
        <w:r>
          <w:rPr>
            <w:rStyle w:val="Hyperlink"/>
          </w:rPr>
          <w:t xml:space="preserve">on wikipedia</w:t>
        </w:r>
      </w:hyperlink>
      <w:r>
        <w:t xml:space="preserve">, each character’s integer code is given for different</w:t>
      </w:r>
      <w:r>
        <w:t xml:space="preserve"> </w:t>
      </w:r>
      <w:hyperlink r:id="rId22">
        <w:r>
          <w:rPr>
            <w:rStyle w:val="Hyperlink"/>
          </w:rPr>
          <w:t xml:space="preserve">numeral systems</w:t>
        </w:r>
      </w:hyperlink>
      <w:r>
        <w:t xml:space="preserve">:</w:t>
      </w:r>
    </w:p>
    <w:p>
      <w:pPr>
        <w:numPr>
          <w:ilvl w:val="0"/>
          <w:numId w:val="1002"/>
        </w:numPr>
        <w:pStyle w:val="Compact"/>
      </w:pPr>
      <w:r>
        <w:t xml:space="preserve">Binary: base 2</w:t>
      </w:r>
    </w:p>
    <w:p>
      <w:pPr>
        <w:numPr>
          <w:ilvl w:val="0"/>
          <w:numId w:val="1002"/>
        </w:numPr>
        <w:pStyle w:val="Compact"/>
      </w:pPr>
      <w:r>
        <w:t xml:space="preserve">Oct: octal, base 8</w:t>
      </w:r>
    </w:p>
    <w:p>
      <w:pPr>
        <w:numPr>
          <w:ilvl w:val="0"/>
          <w:numId w:val="1002"/>
        </w:numPr>
        <w:pStyle w:val="Compact"/>
      </w:pPr>
      <w:r>
        <w:t xml:space="preserve">Dec: decimal, base 10</w:t>
      </w:r>
    </w:p>
    <w:p>
      <w:pPr>
        <w:numPr>
          <w:ilvl w:val="0"/>
          <w:numId w:val="1002"/>
        </w:numPr>
        <w:pStyle w:val="Compact"/>
      </w:pPr>
      <w:r>
        <w:t xml:space="preserve">Hex: hexadecimal, base 16</w:t>
      </w:r>
    </w:p>
    <w:p>
      <w:pPr>
        <w:pStyle w:val="FirstParagraph"/>
      </w:pPr>
      <w:r>
        <w:rPr>
          <w:iCs/>
          <w:i/>
        </w:rPr>
        <w:t xml:space="preserve">Decimal system</w:t>
      </w:r>
      <w:r>
        <w:t xml:space="preserve"> </w:t>
      </w:r>
      <w:r>
        <w:t xml:space="preserve">is what we use everyday, but computer programs occasionally use other numerical systems.</w:t>
      </w:r>
      <w:r>
        <w:t xml:space="preserve"> </w:t>
      </w:r>
      <w:r>
        <w:t xml:space="preserve">For that system, it gives (no need to memorize this information, this is simply for your general awareness):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Decimal representation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Glyph (character)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!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#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$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&amp;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’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,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/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: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&lt;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=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&gt;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?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@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\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]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^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_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`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j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{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|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~</w:t>
            </w:r>
          </w:p>
        </w:tc>
      </w:tr>
    </w:tbl>
    <w:p>
      <w:pPr>
        <w:pStyle w:val="BodyText"/>
      </w:pPr>
      <w:r>
        <w:t xml:space="preserve">Note that the characters are divided in groups, and that there are 95 printable characters.</w:t>
      </w:r>
    </w:p>
    <w:bookmarkEnd w:id="23"/>
    <w:bookmarkStart w:id="24" w:name="Xe94d3d9e3bc9dacbffb3ee664f7bcd5d9fcde19"/>
    <w:p>
      <w:pPr>
        <w:pStyle w:val="Heading1"/>
      </w:pPr>
      <w:r>
        <w:t xml:space="preserve">Converting Between Characters Representations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C#; replace the previous first line with: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still compiles.</w:t>
      </w:r>
    </w:p>
    <w:p>
      <w:pPr>
        <w:pStyle w:val="BodyText"/>
      </w:pP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p>
      <w:pPr>
        <w:pStyle w:val="BodyText"/>
      </w:pPr>
      <w:r>
        <w:t xml:space="preserve">Next write code to determine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values for the following characters: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w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119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5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NormalTok"/>
              </w:rPr>
              <w:t xml:space="preserve">#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Also determine what characters the following integers (in decimal system) represent: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  <w:r>
              <w:t xml:space="preserve"> </w:t>
            </w:r>
            <w:r>
              <w:t xml:space="preserve">value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  <w:r>
              <w:t xml:space="preserve"> </w:t>
            </w: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49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104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89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Start w:id="25" w:name="comparing"/>
    <w:p>
      <w:pPr>
        <w:pStyle w:val="Heading1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with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</w:p>
    <w:p>
      <w:pPr>
        <w:pStyle w:val="BodyText"/>
      </w:pP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Implement the following short program to practice this concept.</w:t>
      </w:r>
      <w:r>
        <w:t xml:space="preserve"> </w:t>
      </w:r>
      <w:r>
        <w:t xml:space="preserve">Note that 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 the</w:t>
      </w:r>
      <w:r>
        <w:t xml:space="preserve"> 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</w:t>
      </w:r>
      <w:r>
        <w:t xml:space="preserve"> </w:t>
      </w:r>
      <w:r>
        <w:t xml:space="preserve">method:</w:t>
      </w:r>
      <w:r>
        <w:t xml:space="preserve"> 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t xml:space="preserve"> </w:t>
      </w:r>
      <w:r>
        <w:t xml:space="preserve">will returns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that you can then store into a variable and manipulate.</w:t>
      </w:r>
    </w:p>
    <w:p>
      <w:pPr>
        <w:numPr>
          <w:ilvl w:val="0"/>
          <w:numId w:val="1003"/>
        </w:numPr>
      </w:pPr>
      <w:r>
        <w:t xml:space="preserve">Ask user to enter a lowercase character,</w:t>
      </w:r>
    </w:p>
    <w:p>
      <w:pPr>
        <w:numPr>
          <w:ilvl w:val="0"/>
          <w:numId w:val="1003"/>
        </w:numPr>
      </w:pPr>
      <w:r>
        <w:t xml:space="preserve">Check that the character is within the</w:t>
      </w:r>
      <w:r>
        <w:t xml:space="preserve"> </w:t>
      </w:r>
      <w:r>
        <w:rPr>
          <w:bCs/>
          <w:b/>
        </w:rPr>
        <w:t xml:space="preserve">a - z</w:t>
      </w:r>
      <w:r>
        <w:t xml:space="preserve"> </w:t>
      </w:r>
      <w:r>
        <w:t xml:space="preserve">range (it</w:t>
      </w:r>
      <w:r>
        <w:t xml:space="preserve"> </w:t>
      </w:r>
      <w:r>
        <w:rPr>
          <w:iCs/>
          <w:i/>
        </w:rPr>
        <w:t xml:space="preserve">is</w:t>
      </w:r>
      <w:r>
        <w:t xml:space="preserve"> </w:t>
      </w:r>
      <w:r>
        <w:t xml:space="preserve">a lowercase character),</w:t>
      </w:r>
    </w:p>
    <w:p>
      <w:pPr>
        <w:numPr>
          <w:ilvl w:val="0"/>
          <w:numId w:val="1003"/>
        </w:numPr>
      </w:pPr>
      <w:r>
        <w:t xml:space="preserve">When it is not in this range, display</w:t>
      </w:r>
      <w:r>
        <w:t xml:space="preserve"> </w:t>
      </w:r>
      <w:r>
        <w:t xml:space="preserve">“</w:t>
      </w:r>
      <w:r>
        <w:t xml:space="preserve">not a lowercase character</w:t>
      </w:r>
      <w:r>
        <w:t xml:space="preserve">”</w:t>
      </w:r>
      <w:r>
        <w:t xml:space="preserve">,</w:t>
      </w:r>
    </w:p>
    <w:p>
      <w:pPr>
        <w:numPr>
          <w:ilvl w:val="0"/>
          <w:numId w:val="1003"/>
        </w:numPr>
      </w:pPr>
      <w:r>
        <w:t xml:space="preserve">Otherwise, perform the following steps:</w:t>
      </w:r>
    </w:p>
    <w:p>
      <w:pPr>
        <w:numPr>
          <w:ilvl w:val="1"/>
          <w:numId w:val="1004"/>
        </w:numPr>
        <w:pStyle w:val="Compact"/>
      </w:pPr>
      <w:r>
        <w:t xml:space="preserve">if user enters character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You entered n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if the character occurs before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Before n</w:t>
      </w:r>
      <w:r>
        <w:t xml:space="preserve">”</w:t>
      </w:r>
    </w:p>
    <w:p>
      <w:pPr>
        <w:numPr>
          <w:ilvl w:val="1"/>
          <w:numId w:val="1004"/>
        </w:numPr>
        <w:pStyle w:val="Compact"/>
      </w:pPr>
      <w:r>
        <w:t xml:space="preserve">if the character occurs after</w:t>
      </w:r>
      <w:r>
        <w:t xml:space="preserve"> </w:t>
      </w:r>
      <w:r>
        <w:rPr>
          <w:rStyle w:val="CharTok"/>
        </w:rPr>
        <w:t xml:space="preserve">'n'</w:t>
      </w:r>
      <w:r>
        <w:t xml:space="preserve">, display</w:t>
      </w:r>
      <w:r>
        <w:t xml:space="preserve"> </w:t>
      </w:r>
      <w:r>
        <w:t xml:space="preserve">“</w:t>
      </w:r>
      <w:r>
        <w:t xml:space="preserve">After n</w:t>
      </w:r>
      <w:r>
        <w:t xml:space="preserve">”</w:t>
      </w:r>
    </w:p>
    <w:bookmarkEnd w:id="25"/>
    <w:bookmarkStart w:id="26" w:name="testing-for-equality"/>
    <w:p>
      <w:pPr>
        <w:pStyle w:val="Heading1"/>
      </w:pPr>
      <w:r>
        <w:t xml:space="preserve">Testing for Equality</w:t>
      </w:r>
    </w:p>
    <w:p>
      <w:pPr>
        <w:pStyle w:val="FirstParagraph"/>
      </w:pPr>
      <w:r>
        <w:t xml:space="preserve">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program that</w:t>
      </w:r>
    </w:p>
    <w:p>
      <w:pPr>
        <w:numPr>
          <w:ilvl w:val="0"/>
          <w:numId w:val="1005"/>
        </w:numPr>
        <w:pStyle w:val="Compact"/>
      </w:pPr>
      <w:r>
        <w:t xml:space="preserve">Asks the user for a character,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'Y'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'y'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rPr>
          <w:rStyle w:val="CharTok"/>
        </w:rPr>
        <w:t xml:space="preserve">'N'</w:t>
      </w:r>
      <w:r>
        <w:t xml:space="preserve"> </w:t>
      </w:r>
      <w:r>
        <w:t xml:space="preserve">or</w:t>
      </w:r>
      <w:r>
        <w:t xml:space="preserve"> </w:t>
      </w:r>
      <w:r>
        <w:rPr>
          <w:rStyle w:val="CharTok"/>
        </w:rPr>
        <w:t xml:space="preserve">'n'</w:t>
      </w:r>
      <w:r>
        <w:t xml:space="preserve">,</w:t>
      </w:r>
    </w:p>
    <w:p>
      <w:pPr>
        <w:numPr>
          <w:ilvl w:val="0"/>
          <w:numId w:val="1005"/>
        </w:numPr>
        <w:pStyle w:val="Compact"/>
      </w:pPr>
      <w:r>
        <w:t xml:space="preserve">Displays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bookmarkEnd w:id="26"/>
    <w:bookmarkStart w:id="30" w:name="pushing-further-optional"/>
    <w:p>
      <w:pPr>
        <w:pStyle w:val="Heading1"/>
      </w:pPr>
      <w:r>
        <w:t xml:space="preserve">Pushing Further (Optional)</w:t>
      </w:r>
    </w:p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</w:p>
    <w:p>
      <w:pPr>
        <w:pStyle w:val="BodyText"/>
      </w:pP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6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less than August"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value.</w:t>
      </w:r>
    </w:p>
    <w:p>
      <w:pPr>
        <w:pStyle w:val="BodyText"/>
      </w:pPr>
      <w:r>
        <w:t xml:space="preserve">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8" Target="https://docs.microsoft.com/en-us/dotnet/api/system.string" TargetMode="External" /><Relationship Type="http://schemas.openxmlformats.org/officeDocument/2006/relationships/hyperlink" Id="rId27" Target="https://docs.microsoft.com/en-us/dotnet/api/system.string.compareordinal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2" Target="https://en.wikipedia.org/wiki/Radix#In_numeral_system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2023-01-11T17:01:07Z</dcterms:created>
  <dcterms:modified xsi:type="dcterms:W3CDTF">2023-01-11T17:01:07Z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11, 2023 (12:00:51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