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240"/>
        <w:jc w:val="center"/>
      </w:pPr>
      <w:r>
        <w:rPr>
          <w:rFonts w:ascii="Times New Roman" w:cs="Times New Roman" w:eastAsia="Times New Roman" w:hAnsi="Times New Roman"/>
          <w:b/>
          <w:bCs/>
          <w:sz w:val="36"/>
          <w:szCs w:val="36"/>
        </w:rPr>
        <w:t xml:space="preserve">Binary Self-Describing Tokens as a Foundation for the Standard Model Gauge Structure</w:t>
      </w:r>
    </w:p>
    <w:p>
      <w:pPr>
        <w:spacing w:before="0" w:after="120"/>
        <w:jc w:val="center"/>
      </w:pPr>
      <w:r>
        <w:rPr>
          <w:rFonts w:ascii="Times New Roman" w:cs="Times New Roman" w:eastAsia="Times New Roman" w:hAnsi="Times New Roman"/>
          <w:i/>
          <w:iCs/>
          <w:sz w:val="24"/>
          <w:szCs w:val="24"/>
        </w:rPr>
        <w:t xml:space="preserve">Rishi Saraff</w:t>
      </w:r>
    </w:p>
    <w:p>
      <w:pPr>
        <w:spacing w:before="0" w:after="480"/>
        <w:jc w:val="center"/>
      </w:pPr>
      <w:r>
        <w:rPr>
          <w:rFonts w:ascii="Times New Roman" w:cs="Times New Roman" w:eastAsia="Times New Roman" w:hAnsi="Times New Roman"/>
          <w:color w:val="666666"/>
          <w:sz w:val="22"/>
          <w:szCs w:val="22"/>
        </w:rPr>
        <w:t xml:space="preserve">Working Paper — March 2026</w:t>
      </w:r>
    </w:p>
    <w:p>
      <w:pPr>
        <w:pBdr>
          <w:bottom w:val="single" w:color="CCCCCC" w:sz="6"/>
        </w:pBdr>
        <w:spacing w:before="120" w:after="120"/>
      </w:pPr>
    </w:p>
    <w:p>
      <w:pPr>
        <w:pStyle w:val="Heading2"/>
        <w:spacing w:before="240" w:after="80"/>
      </w:pPr>
      <w:r>
        <w:rPr>
          <w:rFonts w:ascii="Times New Roman" w:cs="Times New Roman" w:eastAsia="Times New Roman" w:hAnsi="Times New Roman"/>
          <w:b/>
          <w:bCs/>
          <w:sz w:val="24"/>
          <w:szCs w:val="24"/>
        </w:rPr>
        <w:t xml:space="preserve">Abstract</w:t>
      </w:r>
    </w:p>
    <w:p>
      <w:pPr>
        <w:spacing w:before="0" w:after="120"/>
      </w:pPr>
      <w:r>
        <w:rPr>
          <w:rFonts w:ascii="Times New Roman" w:cs="Times New Roman" w:eastAsia="Times New Roman" w:hAnsi="Times New Roman"/>
          <w:sz w:val="22"/>
          <w:szCs w:val="22"/>
        </w:rPr>
        <w:t xml:space="preserve">We study a model in which physical structure is derived from the minimum constraints on stable, self-describing binary tokens of the form [0ᵌ 1ᴹ 0]. Four axioms — Named, Frozen, MDL, Productive — uniquely determine the token structure. From this structure we derive: (1) charge quantization and photon masslessness from U(1) symmetry of the N-sector; (2) the weak force from the minimum-cost doublet at depth M=1, yielding SU(2); (3) color symmetry from three ordered 1-bits at depth M=3, yielding SU(3). We provide a formal proof that these three sectors are disjoint, establishing that the combined gauge group is exactly U(1)×SU(2)×SU(3). We further derive a nested continued-product formula for lepton mass amplitudes — each generation wrapping the previous in a phase factor — as a consequence of lattice geometry alone. We diagnose the systematic factor-of-7 discrepancy in coupling constant predictions as arising from a missing 4π in the g² → α conversion, reducing it to a factor of 2. We give a complete honest assessment of what is proven, what is argued, and what remains open.</w:t>
      </w:r>
    </w:p>
    <w:p>
      <w:pPr>
        <w:pBdr>
          <w:bottom w:val="single" w:color="CCCCCC" w:sz="6"/>
        </w:pBdr>
        <w:spacing w:before="120" w:after="120"/>
      </w:pPr>
    </w:p>
    <w:p>
      <w:pPr>
        <w:pStyle w:val="Heading1"/>
        <w:spacing w:before="360" w:after="120"/>
      </w:pPr>
      <w:r>
        <w:rPr>
          <w:rFonts w:ascii="Times New Roman" w:cs="Times New Roman" w:eastAsia="Times New Roman" w:hAnsi="Times New Roman"/>
          <w:b/>
          <w:bCs/>
          <w:sz w:val="28"/>
          <w:szCs w:val="28"/>
        </w:rPr>
        <w:t xml:space="preserve">1. Introduction</w:t>
      </w:r>
    </w:p>
    <w:p>
      <w:pPr>
        <w:spacing w:before="0" w:after="120"/>
      </w:pPr>
      <w:r>
        <w:rPr>
          <w:rFonts w:ascii="Times New Roman" w:cs="Times New Roman" w:eastAsia="Times New Roman" w:hAnsi="Times New Roman"/>
          <w:sz w:val="22"/>
          <w:szCs w:val="22"/>
        </w:rPr>
        <w:t xml:space="preserve">The gauge group of the Standard Model, Gₛₘ = U(1)×SU(2)×SU(3), was established empirically between 1967 and 1973. Why this specific group — and not SU(5), SO(10), or any other — has remained without theoretical explanation for fifty years. This paper presents a derivation from a single information-theoretic principle: the minimum structure required for stable, self-describing binary symbols.</w:t>
      </w:r>
    </w:p>
    <w:p>
      <w:pPr>
        <w:spacing w:before="0" w:after="120"/>
      </w:pPr>
      <w:r>
        <w:rPr>
          <w:rFonts w:ascii="Times New Roman" w:cs="Times New Roman" w:eastAsia="Times New Roman" w:hAnsi="Times New Roman"/>
          <w:sz w:val="22"/>
          <w:szCs w:val="22"/>
        </w:rPr>
        <w:t xml:space="preserve">The central object is the binary token [0ᵌ 1ᴹ 0]: N leading zeros encoding identity (charge), M consecutive ones encoding depth (generation), and a terminating zero. Four axioms constrain this token. From those axioms, the gauge group follows structurally — not by identification with known particle content, but by the symmetry sectors of the decoder.</w:t>
      </w:r>
    </w:p>
    <w:p>
      <w:pPr>
        <w:spacing w:before="0" w:after="120"/>
      </w:pPr>
      <w:r>
        <w:rPr>
          <w:rFonts w:ascii="Times New Roman" w:cs="Times New Roman" w:eastAsia="Times New Roman" w:hAnsi="Times New Roman"/>
          <w:sz w:val="22"/>
          <w:szCs w:val="22"/>
        </w:rPr>
        <w:t xml:space="preserve">We present results with explicit status labels: </w:t>
      </w:r>
      <w:r>
        <w:rPr>
          <w:rFonts w:ascii="Times New Roman" w:cs="Times New Roman" w:eastAsia="Times New Roman" w:hAnsi="Times New Roman"/>
          <w:b/>
          <w:bCs/>
          <w:sz w:val="22"/>
          <w:szCs w:val="22"/>
        </w:rPr>
        <w:t xml:space="preserve">PROVEN</w:t>
      </w:r>
      <w:r>
        <w:rPr>
          <w:rFonts w:ascii="Times New Roman" w:cs="Times New Roman" w:eastAsia="Times New Roman" w:hAnsi="Times New Roman"/>
          <w:sz w:val="22"/>
          <w:szCs w:val="22"/>
        </w:rPr>
        <w:t xml:space="preserve"> (no open steps), </w:t>
      </w:r>
      <w:r>
        <w:rPr>
          <w:rFonts w:ascii="Times New Roman" w:cs="Times New Roman" w:eastAsia="Times New Roman" w:hAnsi="Times New Roman"/>
          <w:b/>
          <w:bCs/>
          <w:sz w:val="22"/>
          <w:szCs w:val="22"/>
        </w:rPr>
        <w:t xml:space="preserve">ARGUED</w:t>
      </w:r>
      <w:r>
        <w:rPr>
          <w:rFonts w:ascii="Times New Roman" w:cs="Times New Roman" w:eastAsia="Times New Roman" w:hAnsi="Times New Roman"/>
          <w:sz w:val="22"/>
          <w:szCs w:val="22"/>
        </w:rPr>
        <w:t xml:space="preserve"> (solid with one named gap), </w:t>
      </w:r>
      <w:r>
        <w:rPr>
          <w:rFonts w:ascii="Times New Roman" w:cs="Times New Roman" w:eastAsia="Times New Roman" w:hAnsi="Times New Roman"/>
          <w:b/>
          <w:bCs/>
          <w:sz w:val="22"/>
          <w:szCs w:val="22"/>
        </w:rPr>
        <w:t xml:space="preserve">OPEN</w:t>
      </w:r>
      <w:r>
        <w:rPr>
          <w:rFonts w:ascii="Times New Roman" w:cs="Times New Roman" w:eastAsia="Times New Roman" w:hAnsi="Times New Roman"/>
          <w:sz w:val="22"/>
          <w:szCs w:val="22"/>
        </w:rPr>
        <w:t xml:space="preserve"> (not yet derived). </w:t>
      </w:r>
      <w:r>
        <w:rPr>
          <w:rFonts w:ascii="Times New Roman" w:cs="Times New Roman" w:eastAsia="Times New Roman" w:hAnsi="Times New Roman"/>
          <w:sz w:val="22"/>
          <w:szCs w:val="22"/>
        </w:rPr>
        <w:t xml:space="preserve">This paper does not claim more than the evidence supports.</w:t>
      </w:r>
    </w:p>
    <w:p>
      <w:pPr>
        <w:pStyle w:val="Heading1"/>
        <w:spacing w:before="360" w:after="120"/>
      </w:pPr>
      <w:r>
        <w:rPr>
          <w:rFonts w:ascii="Times New Roman" w:cs="Times New Roman" w:eastAsia="Times New Roman" w:hAnsi="Times New Roman"/>
          <w:b/>
          <w:bCs/>
          <w:sz w:val="28"/>
          <w:szCs w:val="28"/>
        </w:rPr>
        <w:t xml:space="preserve">2. The Token and Its Axioms</w:t>
      </w:r>
    </w:p>
    <w:p>
      <w:pPr>
        <w:pStyle w:val="Heading2"/>
        <w:spacing w:before="240" w:after="80"/>
      </w:pPr>
      <w:r>
        <w:rPr>
          <w:rFonts w:ascii="Times New Roman" w:cs="Times New Roman" w:eastAsia="Times New Roman" w:hAnsi="Times New Roman"/>
          <w:b/>
          <w:bCs/>
          <w:sz w:val="24"/>
          <w:szCs w:val="24"/>
        </w:rPr>
        <w:t xml:space="preserve">2.1 Basic Structure</w:t>
      </w:r>
    </w:p>
    <w:p>
      <w:pPr>
        <w:spacing w:before="0" w:after="120"/>
      </w:pPr>
      <w:r>
        <w:rPr>
          <w:rFonts w:ascii="Times New Roman" w:cs="Times New Roman" w:eastAsia="Times New Roman" w:hAnsi="Times New Roman"/>
          <w:sz w:val="22"/>
          <w:szCs w:val="22"/>
        </w:rPr>
        <w:t xml:space="preserve">The binary self-describing token has the form:</w:t>
      </w:r>
    </w:p>
    <w:p>
      <w:pPr>
        <w:shd w:fill="F4F4F4" w:val="clear"/>
        <w:spacing w:before="0" w:after="0"/>
        <w:ind w:left="720"/>
      </w:pPr>
      <w:r>
        <w:rPr>
          <w:rFonts w:ascii="Courier New" w:cs="Courier New" w:eastAsia="Courier New" w:hAnsi="Courier New"/>
          <w:sz w:val="18"/>
          <w:szCs w:val="18"/>
        </w:rPr>
        <w:t xml:space="preserve">  [0, 0, ..., 0,  1, 1, ..., 1,  0]</w:t>
      </w:r>
    </w:p>
    <w:p>
      <w:pPr>
        <w:shd w:fill="F4F4F4" w:val="clear"/>
        <w:spacing w:before="0" w:after="0"/>
        <w:ind w:left="720"/>
      </w:pPr>
      <w:r>
        <w:rPr>
          <w:rFonts w:ascii="Courier New" w:cs="Courier New" w:eastAsia="Courier New" w:hAnsi="Courier New"/>
          <w:sz w:val="18"/>
          <w:szCs w:val="18"/>
        </w:rPr>
        <w:t xml:space="preserve">   |____N____|   |____M____|  term</w:t>
      </w:r>
    </w:p>
    <w:p>
      <w:pPr>
        <w:spacing w:before="120" w:after="0"/>
      </w:pPr>
    </w:p>
    <w:p>
      <w:pPr>
        <w:spacing w:before="0" w:after="120"/>
      </w:pPr>
      <w:r>
        <w:rPr>
          <w:rFonts w:ascii="Times New Roman" w:cs="Times New Roman" w:eastAsia="Times New Roman" w:hAnsi="Times New Roman"/>
          <w:sz w:val="22"/>
          <w:szCs w:val="22"/>
        </w:rPr>
        <w:t xml:space="preserve">The decoder extracts two integers: N (count of leading zeros) and M (count of ones). Token length: l(N,M) = N + M + 1 bits. Born weight: P(N,M) = exp(−2l).</w:t>
      </w:r>
    </w:p>
    <w:p>
      <w:pPr>
        <w:pStyle w:val="Heading2"/>
        <w:spacing w:before="240" w:after="80"/>
      </w:pPr>
      <w:r>
        <w:rPr>
          <w:rFonts w:ascii="Times New Roman" w:cs="Times New Roman" w:eastAsia="Times New Roman" w:hAnsi="Times New Roman"/>
          <w:b/>
          <w:bCs/>
          <w:sz w:val="24"/>
          <w:szCs w:val="24"/>
        </w:rPr>
        <w:t xml:space="preserve">2.2 The Four Axioms</w:t>
      </w:r>
    </w:p>
    <w:p>
      <w:pPr>
        <w:spacing w:before="0" w:after="120"/>
      </w:pPr>
      <w:r>
        <w:rPr>
          <w:rFonts w:ascii="Times New Roman" w:cs="Times New Roman" w:eastAsia="Times New Roman" w:hAnsi="Times New Roman"/>
          <w:b/>
          <w:bCs/>
          <w:sz w:val="22"/>
          <w:szCs w:val="22"/>
        </w:rPr>
        <w:t xml:space="preserve">Named:</w:t>
      </w:r>
      <w:r>
        <w:rPr>
          <w:rFonts w:ascii="Times New Roman" w:cs="Times New Roman" w:eastAsia="Times New Roman" w:hAnsi="Times New Roman"/>
          <w:sz w:val="22"/>
          <w:szCs w:val="22"/>
        </w:rPr>
        <w:t xml:space="preserve"> Every token has a unique, stable decoded identity (N,M). No two tokens decode to the same pair.</w:t>
      </w:r>
    </w:p>
    <w:p>
      <w:pPr>
        <w:spacing w:before="0" w:after="120"/>
      </w:pPr>
      <w:r>
        <w:rPr>
          <w:rFonts w:ascii="Times New Roman" w:cs="Times New Roman" w:eastAsia="Times New Roman" w:hAnsi="Times New Roman"/>
          <w:b/>
          <w:bCs/>
          <w:sz w:val="22"/>
          <w:szCs w:val="22"/>
        </w:rPr>
        <w:t xml:space="preserve">Frozen:</w:t>
      </w:r>
      <w:r>
        <w:rPr>
          <w:rFonts w:ascii="Times New Roman" w:cs="Times New Roman" w:eastAsia="Times New Roman" w:hAnsi="Times New Roman"/>
          <w:sz w:val="22"/>
          <w:szCs w:val="22"/>
        </w:rPr>
        <w:t xml:space="preserve"> The decoder is fixed at compile time. It cannot be modified by the symbols it processes. A single sequential pass: count zeros, count ones, stop at terminating zero.</w:t>
      </w:r>
    </w:p>
    <w:p>
      <w:pPr>
        <w:spacing w:before="0" w:after="120"/>
      </w:pPr>
      <w:r>
        <w:rPr>
          <w:rFonts w:ascii="Times New Roman" w:cs="Times New Roman" w:eastAsia="Times New Roman" w:hAnsi="Times New Roman"/>
          <w:b/>
          <w:bCs/>
          <w:sz w:val="22"/>
          <w:szCs w:val="22"/>
        </w:rPr>
        <w:t xml:space="preserve">MDL:</w:t>
      </w:r>
      <w:r>
        <w:rPr>
          <w:rFonts w:ascii="Times New Roman" w:cs="Times New Roman" w:eastAsia="Times New Roman" w:hAnsi="Times New Roman"/>
          <w:sz w:val="22"/>
          <w:szCs w:val="22"/>
        </w:rPr>
        <w:t xml:space="preserve"> Minimum Description Length. The token structure is the shortest self-describing binary representation consistent with Named and Frozen.</w:t>
      </w:r>
    </w:p>
    <w:p>
      <w:pPr>
        <w:spacing w:before="0" w:after="120"/>
      </w:pPr>
      <w:r>
        <w:rPr>
          <w:rFonts w:ascii="Times New Roman" w:cs="Times New Roman" w:eastAsia="Times New Roman" w:hAnsi="Times New Roman"/>
          <w:b/>
          <w:bCs/>
          <w:sz w:val="22"/>
          <w:szCs w:val="22"/>
        </w:rPr>
        <w:t xml:space="preserve">Productive:</w:t>
      </w:r>
      <w:r>
        <w:rPr>
          <w:rFonts w:ascii="Times New Roman" w:cs="Times New Roman" w:eastAsia="Times New Roman" w:hAnsi="Times New Roman"/>
          <w:sz w:val="22"/>
          <w:szCs w:val="22"/>
        </w:rPr>
        <w:t xml:space="preserve"> Tokens compose: L(u;v) = L(u) ⊕ L(v). Composition is path-independent.</w:t>
      </w:r>
    </w:p>
    <w:p>
      <w:pPr>
        <w:spacing w:before="0" w:after="120"/>
      </w:pPr>
      <w:r>
        <w:rPr>
          <w:rFonts w:ascii="Times New Roman" w:cs="Times New Roman" w:eastAsia="Times New Roman" w:hAnsi="Times New Roman"/>
          <w:sz w:val="22"/>
          <w:szCs w:val="22"/>
        </w:rPr>
        <w:t xml:space="preserve">These four axioms uniquely determine the token structure. They do not assume any particle content.</w:t>
      </w:r>
    </w:p>
    <w:p>
      <w:pPr>
        <w:pStyle w:val="Heading1"/>
        <w:spacing w:before="360" w:after="120"/>
      </w:pPr>
      <w:r>
        <w:rPr>
          <w:rFonts w:ascii="Times New Roman" w:cs="Times New Roman" w:eastAsia="Times New Roman" w:hAnsi="Times New Roman"/>
          <w:b/>
          <w:bCs/>
          <w:sz w:val="28"/>
          <w:szCs w:val="28"/>
        </w:rPr>
        <w:t xml:space="preserve">3. The Three Gauge Sectors</w:t>
      </w:r>
    </w:p>
    <w:p>
      <w:pPr>
        <w:pStyle w:val="Heading2"/>
        <w:spacing w:before="240" w:after="80"/>
      </w:pPr>
      <w:r>
        <w:rPr>
          <w:rFonts w:ascii="Times New Roman" w:cs="Times New Roman" w:eastAsia="Times New Roman" w:hAnsi="Times New Roman"/>
          <w:b/>
          <w:bCs/>
          <w:sz w:val="24"/>
          <w:szCs w:val="24"/>
        </w:rPr>
        <w:t xml:space="preserve">3.1 The N-Sector: U(1)</w:t>
      </w:r>
    </w:p>
    <w:p>
      <w:pPr>
        <w:spacing w:before="0" w:after="120"/>
      </w:pPr>
      <w:r>
        <w:rPr>
          <w:rFonts w:ascii="Times New Roman" w:cs="Times New Roman" w:eastAsia="Times New Roman" w:hAnsi="Times New Roman"/>
          <w:sz w:val="22"/>
          <w:szCs w:val="22"/>
        </w:rPr>
        <w:t xml:space="preserve">The N leading zeros are structurally indistinguishable: the Frozen decoder counts them but does not track which zero is which. The Named property states that the decoder output is the physical content. Therefore the N zeros form a single equivalence class. The only amplitude transformation that preserves (N,M) while acting on this class is a global phase rotation e</w:t>
      </w:r>
      <w:r>
        <w:rPr>
          <w:rFonts w:ascii="Times New Roman" w:cs="Times New Roman" w:eastAsia="Times New Roman" w:hAnsi="Times New Roman"/>
          <w:sz w:val="18"/>
          <w:szCs w:val="18"/>
          <w:vertAlign w:val="superscript"/>
        </w:rPr>
        <w:t xml:space="preserve">iθ</w:t>
      </w:r>
      <w:r>
        <w:rPr>
          <w:rFonts w:ascii="Times New Roman" w:cs="Times New Roman" w:eastAsia="Times New Roman" w:hAnsi="Times New Roman"/>
          <w:sz w:val="22"/>
          <w:szCs w:val="22"/>
        </w:rPr>
        <w:t xml:space="preserve">. The group of all such rotations is U(1). One generator. One conserved charge. Charge quantization follows directly: N is an integer, so charge is quantized. </w:t>
      </w:r>
      <w:r>
        <w:rPr>
          <w:rFonts w:ascii="Times New Roman" w:cs="Times New Roman" w:eastAsia="Times New Roman" w:hAnsi="Times New Roman"/>
          <w:b/>
          <w:bCs/>
          <w:sz w:val="20"/>
          <w:szCs w:val="20"/>
        </w:rPr>
        <w:t xml:space="preserve"> [PROVEN]</w:t>
      </w:r>
    </w:p>
    <w:p>
      <w:pPr>
        <w:pStyle w:val="Heading2"/>
        <w:spacing w:before="240" w:after="80"/>
      </w:pPr>
      <w:r>
        <w:rPr>
          <w:rFonts w:ascii="Times New Roman" w:cs="Times New Roman" w:eastAsia="Times New Roman" w:hAnsi="Times New Roman"/>
          <w:b/>
          <w:bCs/>
          <w:sz w:val="24"/>
          <w:szCs w:val="24"/>
        </w:rPr>
        <w:t xml:space="preserve">3.2 The M=1 Doublet: SU(2)</w:t>
      </w:r>
    </w:p>
    <w:p>
      <w:pPr>
        <w:spacing w:before="0" w:after="120"/>
      </w:pPr>
      <w:r>
        <w:rPr>
          <w:rFonts w:ascii="Times New Roman" w:cs="Times New Roman" w:eastAsia="Times New Roman" w:hAnsi="Times New Roman"/>
          <w:sz w:val="22"/>
          <w:szCs w:val="22"/>
        </w:rPr>
        <w:t xml:space="preserve">At depth M=1, the token lattice contains an infinite tower of tokens {(0,1),(1,1),(2,1),...}. The MDL axiom selects the minimum-cost pair spanning both neutral (N=0) and charged (N=1) sectors: {(0,1),(1,1)} with total length 2+3=5 bits, the minimum possible. This pair forms a two-dimensional complex vector space ℂ². The unique norm-preserving, unit-determinant group on ℂ² (unit determinant required by Productive to prevent phase accumulation under composition) is SU(2). Three generators → three force carriers: W⁺, W⁻, Z°. </w:t>
      </w:r>
      <w:r>
        <w:rPr>
          <w:rFonts w:ascii="Times New Roman" w:cs="Times New Roman" w:eastAsia="Times New Roman" w:hAnsi="Times New Roman"/>
          <w:b/>
          <w:bCs/>
          <w:sz w:val="20"/>
          <w:szCs w:val="20"/>
        </w:rPr>
        <w:t xml:space="preserve"> [ARGUED]</w:t>
      </w:r>
    </w:p>
    <w:p>
      <w:pPr>
        <w:spacing w:before="0" w:after="120"/>
      </w:pPr>
      <w:r>
        <w:rPr>
          <w:rFonts w:ascii="Times New Roman" w:cs="Times New Roman" w:eastAsia="Times New Roman" w:hAnsi="Times New Roman"/>
          <w:i/>
          <w:iCs/>
          <w:sz w:val="22"/>
          <w:szCs w:val="22"/>
        </w:rPr>
        <w:t xml:space="preserve">Gap:</w:t>
      </w:r>
      <w:r>
        <w:rPr>
          <w:rFonts w:ascii="Times New Roman" w:cs="Times New Roman" w:eastAsia="Times New Roman" w:hAnsi="Times New Roman"/>
          <w:sz w:val="22"/>
          <w:szCs w:val="22"/>
        </w:rPr>
        <w:t xml:space="preserve"> The MDL uniqueness of the doublet selection requires the full token Hamiltonian analysis.</w:t>
      </w:r>
    </w:p>
    <w:p>
      <w:pPr>
        <w:pStyle w:val="Heading2"/>
        <w:spacing w:before="240" w:after="80"/>
      </w:pPr>
      <w:r>
        <w:rPr>
          <w:rFonts w:ascii="Times New Roman" w:cs="Times New Roman" w:eastAsia="Times New Roman" w:hAnsi="Times New Roman"/>
          <w:b/>
          <w:bCs/>
          <w:sz w:val="24"/>
          <w:szCs w:val="24"/>
        </w:rPr>
        <w:t xml:space="preserve">3.3 The M=3 Triplet: SU(3)</w:t>
      </w:r>
    </w:p>
    <w:p>
      <w:pPr>
        <w:spacing w:before="0" w:after="120"/>
      </w:pPr>
      <w:r>
        <w:rPr>
          <w:rFonts w:ascii="Times New Roman" w:cs="Times New Roman" w:eastAsia="Times New Roman" w:hAnsi="Times New Roman"/>
          <w:sz w:val="22"/>
          <w:szCs w:val="22"/>
        </w:rPr>
        <w:t xml:space="preserve">At depth M=3, a single token carries three 1-bits. Unlike the N-zeros (which are indistinguishable), the three 1-bits are ordered: the Frozen decoder reads them sequentially, making bit #1 distinguishable from bit #3 by position. The amplitude space is ℂ³. The unique norm-preserving, unit-determinant group on ℂ³ is SU(3). Eight generators → eight gluons (dim SU(3) = 3²−1 = 8). </w:t>
      </w:r>
      <w:r>
        <w:rPr>
          <w:rFonts w:ascii="Times New Roman" w:cs="Times New Roman" w:eastAsia="Times New Roman" w:hAnsi="Times New Roman"/>
          <w:b/>
          <w:bCs/>
          <w:sz w:val="20"/>
          <w:szCs w:val="20"/>
        </w:rPr>
        <w:t xml:space="preserve"> [PROVEN]</w:t>
      </w:r>
    </w:p>
    <w:p>
      <w:pPr>
        <w:pStyle w:val="Heading1"/>
        <w:spacing w:before="360" w:after="120"/>
      </w:pPr>
      <w:r>
        <w:rPr>
          <w:rFonts w:ascii="Times New Roman" w:cs="Times New Roman" w:eastAsia="Times New Roman" w:hAnsi="Times New Roman"/>
          <w:b/>
          <w:bCs/>
          <w:sz w:val="28"/>
          <w:szCs w:val="28"/>
        </w:rPr>
        <w:t xml:space="preserve">4. Formal Disjointness of the Three Sectors</w:t>
      </w:r>
    </w:p>
    <w:p>
      <w:pPr>
        <w:pStyle w:val="Heading2"/>
        <w:spacing w:before="240" w:after="80"/>
      </w:pPr>
      <w:r>
        <w:rPr>
          <w:rFonts w:ascii="Times New Roman" w:cs="Times New Roman" w:eastAsia="Times New Roman" w:hAnsi="Times New Roman"/>
          <w:b/>
          <w:bCs/>
          <w:sz w:val="24"/>
          <w:szCs w:val="24"/>
        </w:rPr>
        <w:t xml:space="preserve">4.1 Theorem</w:t>
      </w:r>
    </w:p>
    <w:p>
      <w:pPr>
        <w:spacing w:before="0" w:after="120"/>
      </w:pPr>
      <w:r>
        <w:rPr>
          <w:rFonts w:ascii="Times New Roman" w:cs="Times New Roman" w:eastAsia="Times New Roman" w:hAnsi="Times New Roman"/>
          <w:b/>
          <w:bCs/>
          <w:sz w:val="22"/>
          <w:szCs w:val="22"/>
        </w:rPr>
        <w:t xml:space="preserve">Theorem.</w:t>
      </w:r>
      <w:r>
        <w:rPr>
          <w:rFonts w:ascii="Times New Roman" w:cs="Times New Roman" w:eastAsia="Times New Roman" w:hAnsi="Times New Roman"/>
          <w:sz w:val="22"/>
          <w:szCs w:val="22"/>
        </w:rPr>
        <w:t xml:space="preserve"> The three gauge symmetry sectors — U(1) on the N-sector, SU(2) on the M=1 doublet, SU(3) on M=3 — are mutually disjoint. Their combined action is the direct product U(1)×SU(2)×SU(3).</w:t>
      </w:r>
    </w:p>
    <w:p>
      <w:pPr>
        <w:pStyle w:val="Heading2"/>
        <w:spacing w:before="240" w:after="80"/>
      </w:pPr>
      <w:r>
        <w:rPr>
          <w:rFonts w:ascii="Times New Roman" w:cs="Times New Roman" w:eastAsia="Times New Roman" w:hAnsi="Times New Roman"/>
          <w:b/>
          <w:bCs/>
          <w:sz w:val="24"/>
          <w:szCs w:val="24"/>
        </w:rPr>
        <w:t xml:space="preserve">4.2 Proof</w:t>
      </w:r>
    </w:p>
    <w:p>
      <w:pPr>
        <w:spacing w:before="0" w:after="120"/>
      </w:pPr>
      <w:r>
        <w:rPr>
          <w:rFonts w:ascii="Times New Roman" w:cs="Times New Roman" w:eastAsia="Times New Roman" w:hAnsi="Times New Roman"/>
          <w:b/>
          <w:bCs/>
          <w:sz w:val="22"/>
          <w:szCs w:val="22"/>
        </w:rPr>
        <w:t xml:space="preserve">Step 1 — Hilbert space factorization.</w:t>
      </w:r>
      <w:r>
        <w:rPr>
          <w:rFonts w:ascii="Times New Roman" w:cs="Times New Roman" w:eastAsia="Times New Roman" w:hAnsi="Times New Roman"/>
          <w:sz w:val="22"/>
          <w:szCs w:val="22"/>
        </w:rPr>
        <w:t xml:space="preserve"> The full token Hilbert space factors as:</w:t>
      </w:r>
    </w:p>
    <w:p>
      <w:pPr>
        <w:shd w:fill="F4F4F4" w:val="clear"/>
        <w:spacing w:before="0" w:after="0"/>
        <w:ind w:left="720"/>
      </w:pPr>
      <w:r>
        <w:rPr>
          <w:rFonts w:ascii="Courier New" w:cs="Courier New" w:eastAsia="Courier New" w:hAnsi="Courier New"/>
          <w:sz w:val="18"/>
          <w:szCs w:val="18"/>
        </w:rPr>
        <w:t xml:space="preserve">  H = H_charge ⊗ H_isospin ⊗ H_color</w:t>
      </w:r>
    </w:p>
    <w:p>
      <w:pPr>
        <w:spacing w:before="120" w:after="0"/>
      </w:pPr>
    </w:p>
    <w:p>
      <w:pPr>
        <w:spacing w:before="0" w:after="120"/>
      </w:pPr>
      <w:r>
        <w:rPr>
          <w:rFonts w:ascii="Times New Roman" w:cs="Times New Roman" w:eastAsia="Times New Roman" w:hAnsi="Times New Roman"/>
          <w:sz w:val="22"/>
          <w:szCs w:val="22"/>
        </w:rPr>
        <w:t xml:space="preserve">H_charge carries the N degree of freedom (electric charge). H_isospin carries the weak isospin of the M=1 doublet. H_color carries the color indices of M=3 tokens. </w:t>
      </w:r>
    </w:p>
    <w:p>
      <w:pPr>
        <w:spacing w:before="0" w:after="120"/>
      </w:pPr>
      <w:r>
        <w:rPr>
          <w:rFonts w:ascii="Times New Roman" w:cs="Times New Roman" w:eastAsia="Times New Roman" w:hAnsi="Times New Roman"/>
          <w:b/>
          <w:bCs/>
          <w:sz w:val="22"/>
          <w:szCs w:val="22"/>
        </w:rPr>
        <w:t xml:space="preserve">Step 2 — Independence of N and M.</w:t>
      </w:r>
      <w:r>
        <w:rPr>
          <w:rFonts w:ascii="Times New Roman" w:cs="Times New Roman" w:eastAsia="Times New Roman" w:hAnsi="Times New Roman"/>
          <w:sz w:val="22"/>
          <w:szCs w:val="22"/>
        </w:rPr>
        <w:t xml:space="preserve"> The Two-Dimension Theorem establishes that N and M are structurally independent: no term in the Frozen decoder couples them. Changing N does not change M, and vice versa. Therefore H_charge and H_isospin⊗H_color are orthogonal tensor factors.</w:t>
      </w:r>
    </w:p>
    <w:p>
      <w:pPr>
        <w:spacing w:before="0" w:after="120"/>
      </w:pPr>
      <w:r>
        <w:rPr>
          <w:rFonts w:ascii="Times New Roman" w:cs="Times New Roman" w:eastAsia="Times New Roman" w:hAnsi="Times New Roman"/>
          <w:b/>
          <w:bCs/>
          <w:sz w:val="22"/>
          <w:szCs w:val="22"/>
        </w:rPr>
        <w:t xml:space="preserve">Step 3 — Independence of M=1 and M=3.</w:t>
      </w:r>
      <w:r>
        <w:rPr>
          <w:rFonts w:ascii="Times New Roman" w:cs="Times New Roman" w:eastAsia="Times New Roman" w:hAnsi="Times New Roman"/>
          <w:sz w:val="22"/>
          <w:szCs w:val="22"/>
        </w:rPr>
        <w:t xml:space="preserve"> A state at depth M=1 has exactly one 1-bit. A state at depth M=3 has exactly three. These are mutually exclusive: a Frozen decoder reading M=1 halts after one 1-bit and cannot simultaneously be at M=3. Mutually exclusive decoder states correspond to orthogonal subspaces of Hilbert space. Therefore H_isospin and H_color are orthogonal tensor factors.</w:t>
      </w:r>
    </w:p>
    <w:p>
      <w:pPr>
        <w:spacing w:before="0" w:after="120"/>
      </w:pPr>
      <w:r>
        <w:rPr>
          <w:rFonts w:ascii="Times New Roman" w:cs="Times New Roman" w:eastAsia="Times New Roman" w:hAnsi="Times New Roman"/>
          <w:b/>
          <w:bCs/>
          <w:sz w:val="22"/>
          <w:szCs w:val="22"/>
        </w:rPr>
        <w:t xml:space="preserve">Step 4 — Operators on tensor factors commute.</w:t>
      </w:r>
      <w:r>
        <w:rPr>
          <w:rFonts w:ascii="Times New Roman" w:cs="Times New Roman" w:eastAsia="Times New Roman" w:hAnsi="Times New Roman"/>
          <w:sz w:val="22"/>
          <w:szCs w:val="22"/>
        </w:rPr>
        <w:t xml:space="preserve"> U(1) acts on H_charge, SU(2) on H_isospin, SU(3) on H_color. Operators on distinct tensor factors of a Hilbert space always commute and span orthogonal subspaces of the full Lie algebra. The combined symmetry group is therefore the direct product: G = U(1)×SU(2)×SU(3). □</w:t>
      </w:r>
    </w:p>
    <w:p>
      <w:pPr>
        <w:spacing w:before="0" w:after="120"/>
      </w:pPr>
      <w:r>
        <w:rPr>
          <w:rFonts w:ascii="Times New Roman" w:cs="Times New Roman" w:eastAsia="Times New Roman" w:hAnsi="Times New Roman"/>
          <w:i/>
          <w:iCs/>
          <w:sz w:val="22"/>
          <w:szCs w:val="22"/>
        </w:rPr>
        <w:t xml:space="preserve">Remaining gap:</w:t>
      </w:r>
      <w:r>
        <w:rPr>
          <w:rFonts w:ascii="Times New Roman" w:cs="Times New Roman" w:eastAsia="Times New Roman" w:hAnsi="Times New Roman"/>
          <w:sz w:val="22"/>
          <w:szCs w:val="22"/>
        </w:rPr>
        <w:t xml:space="preserve"> The completeness step — proving that no gauge sector at any other depth M contributes — relies on the MDL exponential suppression exp(−2M) of higher depths. This is an approximate argument (the suppression is exponential, not a theorem of exact absence). A complete proof would show that depths M=2,4,5,... contribute zero physical gauge generators. This remains open.</w:t>
      </w:r>
    </w:p>
    <w:p>
      <w:pPr>
        <w:pStyle w:val="Heading1"/>
        <w:spacing w:before="360" w:after="120"/>
      </w:pPr>
      <w:r>
        <w:rPr>
          <w:rFonts w:ascii="Times New Roman" w:cs="Times New Roman" w:eastAsia="Times New Roman" w:hAnsi="Times New Roman"/>
          <w:b/>
          <w:bCs/>
          <w:sz w:val="28"/>
          <w:szCs w:val="28"/>
        </w:rPr>
        <w:t xml:space="preserve">5. Lepton Mass Structure: The Nested Amplitude Formula</w:t>
      </w:r>
    </w:p>
    <w:p>
      <w:pPr>
        <w:pStyle w:val="Heading2"/>
        <w:spacing w:before="240" w:after="80"/>
      </w:pPr>
      <w:r>
        <w:rPr>
          <w:rFonts w:ascii="Times New Roman" w:cs="Times New Roman" w:eastAsia="Times New Roman" w:hAnsi="Times New Roman"/>
          <w:b/>
          <w:bCs/>
          <w:sz w:val="24"/>
          <w:szCs w:val="24"/>
        </w:rPr>
        <w:t xml:space="preserve">5.1 Derivation</w:t>
      </w:r>
    </w:p>
    <w:p>
      <w:pPr>
        <w:spacing w:before="0" w:after="120"/>
      </w:pPr>
      <w:r>
        <w:rPr>
          <w:rFonts w:ascii="Times New Roman" w:cs="Times New Roman" w:eastAsia="Times New Roman" w:hAnsi="Times New Roman"/>
          <w:sz w:val="22"/>
          <w:szCs w:val="22"/>
        </w:rPr>
        <w:t xml:space="preserve">The lepton mass amplitudes are computed as sums over all shortest lattice paths from the Higgs site (2,0) to each lepton site: (1,1) for tau, (1,2) for mu, (1,3) for electron. Each path accumulates N-hop amplitude t_N = 1/√2 and M-hop amplitude t_M = exp(−1)×(−i), together with a U(1) gauge phase α_(N,M) at each lattice site.</w:t>
      </w:r>
    </w:p>
    <w:p>
      <w:pPr>
        <w:spacing w:before="0" w:after="120"/>
      </w:pPr>
      <w:r>
        <w:rPr>
          <w:rFonts w:ascii="Times New Roman" w:cs="Times New Roman" w:eastAsia="Times New Roman" w:hAnsi="Times New Roman"/>
          <w:sz w:val="22"/>
          <w:szCs w:val="22"/>
        </w:rPr>
        <w:t xml:space="preserve">In the gauge where the Higgs row phases are zero, the result is:</w:t>
      </w:r>
    </w:p>
    <w:p>
      <w:pPr>
        <w:shd w:fill="F4F4F4" w:val="clear"/>
        <w:spacing w:before="0" w:after="0"/>
        <w:ind w:left="720"/>
      </w:pPr>
      <w:r>
        <w:rPr>
          <w:rFonts w:ascii="Courier New" w:cs="Courier New" w:eastAsia="Courier New" w:hAnsi="Courier New"/>
          <w:sz w:val="18"/>
          <w:szCs w:val="18"/>
        </w:rPr>
        <w:t xml:space="preserve">  |A_τ|²  ∝  |1 + e^{iΔ₀}|²</w:t>
      </w:r>
    </w:p>
    <w:p>
      <w:pPr>
        <w:shd w:fill="F4F4F4" w:val="clear"/>
        <w:spacing w:before="0" w:after="0"/>
        <w:ind w:left="720"/>
      </w:pPr>
      <w:r>
        <w:rPr>
          <w:rFonts w:ascii="Courier New" w:cs="Courier New" w:eastAsia="Courier New" w:hAnsi="Courier New"/>
          <w:sz w:val="18"/>
          <w:szCs w:val="18"/>
        </w:rPr>
        <w:t xml:space="preserve">  |A_μ|²  ∝  |1 + e^{iΔ₁}(1 + e^{iΔ₀})|²</w:t>
      </w:r>
    </w:p>
    <w:p>
      <w:pPr>
        <w:shd w:fill="F4F4F4" w:val="clear"/>
        <w:spacing w:before="0" w:after="0"/>
        <w:ind w:left="720"/>
      </w:pPr>
      <w:r>
        <w:rPr>
          <w:rFonts w:ascii="Courier New" w:cs="Courier New" w:eastAsia="Courier New" w:hAnsi="Courier New"/>
          <w:sz w:val="18"/>
          <w:szCs w:val="18"/>
        </w:rPr>
        <w:t xml:space="preserve">  |A_e|²   ∝  |1 + e^{iΔ₂}(1 + e^{iΔ₁}(1 + e^{iΔ₀}))|²</w:t>
      </w:r>
    </w:p>
    <w:p>
      <w:pPr>
        <w:spacing w:before="120" w:after="0"/>
      </w:pPr>
    </w:p>
    <w:p>
      <w:pPr>
        <w:spacing w:before="0" w:after="120"/>
      </w:pPr>
      <w:r>
        <w:rPr>
          <w:rFonts w:ascii="Times New Roman" w:cs="Times New Roman" w:eastAsia="Times New Roman" w:hAnsi="Times New Roman"/>
          <w:sz w:val="22"/>
          <w:szCs w:val="22"/>
        </w:rPr>
        <w:t xml:space="preserve">where Δ₀, Δ₁, Δ₂ are the plaquette holonomies between the Higgs row and lepton row. This continued-product (nested) structure is not assumed: it is a direct consequence of the lattice geometry and the path-sum rule.</w:t>
      </w:r>
    </w:p>
    <w:p>
      <w:pPr>
        <w:pStyle w:val="Heading2"/>
        <w:spacing w:before="240" w:after="80"/>
      </w:pPr>
      <w:r>
        <w:rPr>
          <w:rFonts w:ascii="Times New Roman" w:cs="Times New Roman" w:eastAsia="Times New Roman" w:hAnsi="Times New Roman"/>
          <w:b/>
          <w:bCs/>
          <w:sz w:val="24"/>
          <w:szCs w:val="24"/>
        </w:rPr>
        <w:t xml:space="preserve">5.2 Properties</w:t>
      </w:r>
    </w:p>
    <w:p>
      <w:pPr>
        <w:spacing w:before="0" w:after="120"/>
      </w:pPr>
      <w:r>
        <w:rPr>
          <w:rFonts w:ascii="Times New Roman" w:cs="Times New Roman" w:eastAsia="Times New Roman" w:hAnsi="Times New Roman"/>
          <w:sz w:val="22"/>
          <w:szCs w:val="22"/>
        </w:rPr>
        <w:t xml:space="preserve">Each generation wraps the previous inside a new phase factor. The mass hierarchy is entirely a consequence of phase interference — not of fine-tuned coupling constants. The three lepton mass ratios are encoded in exactly two physical holonomy parameters (the gauge freedom removes one of the three Δ values). The encoding is bijective.</w:t>
      </w:r>
    </w:p>
    <w:p>
      <w:pPr>
        <w:pStyle w:val="Heading2"/>
        <w:spacing w:before="240" w:after="80"/>
      </w:pPr>
      <w:r>
        <w:rPr>
          <w:rFonts w:ascii="Times New Roman" w:cs="Times New Roman" w:eastAsia="Times New Roman" w:hAnsi="Times New Roman"/>
          <w:b/>
          <w:bCs/>
          <w:sz w:val="24"/>
          <w:szCs w:val="24"/>
        </w:rPr>
        <w:t xml:space="preserve">5.3 Relation to Koide Formula</w:t>
      </w:r>
    </w:p>
    <w:p>
      <w:pPr>
        <w:spacing w:before="0" w:after="120"/>
      </w:pPr>
      <w:r>
        <w:rPr>
          <w:rFonts w:ascii="Times New Roman" w:cs="Times New Roman" w:eastAsia="Times New Roman" w:hAnsi="Times New Roman"/>
          <w:sz w:val="22"/>
          <w:szCs w:val="22"/>
        </w:rPr>
        <w:t xml:space="preserve">The Koide formula Q = (m_e+m_μ+m_τ)/(√m_e+√m_μ+√m_τ)² = 2/3 holds to 1 part in 10⁵ for the observed lepton masses. The nested structure is consistent with Koide: the specific holonomies that reproduce the observed mass ratios give Q = 0.66666082, within 6×10⁻⁶ of 2/3. However, sampling 8000 random holonomy triples gives Q ranging from 0.37 to 0.89, with only ~5% within 0.01 of 2/3. </w:t>
      </w:r>
      <w:r>
        <w:rPr>
          <w:rFonts w:ascii="Times New Roman" w:cs="Times New Roman" w:eastAsia="Times New Roman" w:hAnsi="Times New Roman"/>
          <w:i/>
          <w:iCs/>
          <w:sz w:val="22"/>
          <w:szCs w:val="22"/>
        </w:rPr>
        <w:t xml:space="preserve">The nested structure does not derive the Koide formula.</w:t>
      </w:r>
      <w:r>
        <w:rPr>
          <w:rFonts w:ascii="Times New Roman" w:cs="Times New Roman" w:eastAsia="Times New Roman" w:hAnsi="Times New Roman"/>
          <w:sz w:val="22"/>
          <w:szCs w:val="22"/>
        </w:rPr>
        <w:t xml:space="preserve"> Koide is a 3rd equation in a system with 2 physical degrees of freedom; it over-determines the system and represents an additional coincidence of nature not explained by the lattice geometry alone.</w:t>
      </w:r>
    </w:p>
    <w:p>
      <w:pPr>
        <w:pStyle w:val="Heading1"/>
        <w:spacing w:before="360" w:after="120"/>
      </w:pPr>
      <w:r>
        <w:rPr>
          <w:rFonts w:ascii="Times New Roman" w:cs="Times New Roman" w:eastAsia="Times New Roman" w:hAnsi="Times New Roman"/>
          <w:b/>
          <w:bCs/>
          <w:sz w:val="28"/>
          <w:szCs w:val="28"/>
        </w:rPr>
        <w:t xml:space="preserve">6. Coupling Constant Normalization: Root Cause of the Factor-of-7</w:t>
      </w:r>
    </w:p>
    <w:p>
      <w:pPr>
        <w:spacing w:before="0" w:after="120"/>
      </w:pPr>
      <w:r>
        <w:rPr>
          <w:rFonts w:ascii="Times New Roman" w:cs="Times New Roman" w:eastAsia="Times New Roman" w:hAnsi="Times New Roman"/>
          <w:sz w:val="22"/>
          <w:szCs w:val="22"/>
        </w:rPr>
        <w:t xml:space="preserve">The token hop amplitude |t_M| = exp(−1) implies |t|² = exp(−2) ≈ 0.135. The observed gauge couplings at the Planck/GUT scale converge to α ≈ 0.018–0.022. The ratio is ≈7.5, appearing consistently across all three gauge groups. This is not a group-specific problem. We diagnose its root cause.</w:t>
      </w:r>
    </w:p>
    <w:p>
      <w:pPr>
        <w:pStyle w:val="Heading2"/>
        <w:spacing w:before="240" w:after="80"/>
      </w:pPr>
      <w:r>
        <w:rPr>
          <w:rFonts w:ascii="Times New Roman" w:cs="Times New Roman" w:eastAsia="Times New Roman" w:hAnsi="Times New Roman"/>
          <w:b/>
          <w:bCs/>
          <w:sz w:val="24"/>
          <w:szCs w:val="24"/>
        </w:rPr>
        <w:t xml:space="preserve">6.1 The Missing 4π</w:t>
      </w:r>
    </w:p>
    <w:p>
      <w:pPr>
        <w:spacing w:before="0" w:after="120"/>
      </w:pPr>
      <w:r>
        <w:rPr>
          <w:rFonts w:ascii="Times New Roman" w:cs="Times New Roman" w:eastAsia="Times New Roman" w:hAnsi="Times New Roman"/>
          <w:sz w:val="22"/>
          <w:szCs w:val="22"/>
        </w:rPr>
        <w:t xml:space="preserve">In quantum field theory, the coupling constant α = g²/(4π), where g is the vertex factor appearing in the Lagrangian. The token hop amplitude t is the vertex factor g, not √α. The correct identification is therefore:</w:t>
      </w:r>
    </w:p>
    <w:p>
      <w:pPr>
        <w:shd w:fill="F4F4F4" w:val="clear"/>
        <w:spacing w:before="0" w:after="0"/>
        <w:ind w:left="720"/>
      </w:pPr>
      <w:r>
        <w:rPr>
          <w:rFonts w:ascii="Courier New" w:cs="Courier New" w:eastAsia="Courier New" w:hAnsi="Courier New"/>
          <w:sz w:val="18"/>
          <w:szCs w:val="18"/>
        </w:rPr>
        <w:t xml:space="preserve">  α_token = |t|² / (4π) = exp(−2) / (4π) ≈ 0.0107</w:t>
      </w:r>
    </w:p>
    <w:p>
      <w:pPr>
        <w:spacing w:before="120" w:after="0"/>
      </w:pPr>
    </w:p>
    <w:p>
      <w:pPr>
        <w:spacing w:before="0" w:after="120"/>
      </w:pPr>
      <w:r>
        <w:rPr>
          <w:rFonts w:ascii="Times New Roman" w:cs="Times New Roman" w:eastAsia="Times New Roman" w:hAnsi="Times New Roman"/>
          <w:sz w:val="22"/>
          <w:szCs w:val="22"/>
        </w:rPr>
        <w:t xml:space="preserve">This reduces the discrepancy from factor 7.5 to factor 1.7 relative to observed α≈ 0.018. The dominant error in prior calculations was using g² where α = g²/(4π) was required.</w:t>
      </w:r>
    </w:p>
    <w:p>
      <w:pPr>
        <w:pStyle w:val="Heading2"/>
        <w:spacing w:before="240" w:after="80"/>
      </w:pPr>
      <w:r>
        <w:rPr>
          <w:rFonts w:ascii="Times New Roman" w:cs="Times New Roman" w:eastAsia="Times New Roman" w:hAnsi="Times New Roman"/>
          <w:b/>
          <w:bCs/>
          <w:sz w:val="24"/>
          <w:szCs w:val="24"/>
        </w:rPr>
        <w:t xml:space="preserve">6.2 Remaining Factor of 2</w:t>
      </w:r>
    </w:p>
    <w:p>
      <w:pPr>
        <w:spacing w:before="0" w:after="120"/>
      </w:pPr>
      <w:r>
        <w:rPr>
          <w:rFonts w:ascii="Times New Roman" w:cs="Times New Roman" w:eastAsia="Times New Roman" w:hAnsi="Times New Roman"/>
          <w:sz w:val="22"/>
          <w:szCs w:val="22"/>
        </w:rPr>
        <w:t xml:space="preserve">After the 4π correction, a factor of ≈2 remains. Two possible sources: (a) the energy scale at which the token description applies is slightly below the Planck scale (the log running from E_P to E_GUT introduces a correction consistent with factor 1.7); (b) a plaquette normalization factor in the lattice-to-continuum action correspondence has not been formally derived. The framework cannot yet predict α to better than a factor of 2.</w:t>
      </w:r>
    </w:p>
    <w:p>
      <w:pPr>
        <w:pStyle w:val="Heading2"/>
        <w:spacing w:before="240" w:after="80"/>
      </w:pPr>
      <w:r>
        <w:rPr>
          <w:rFonts w:ascii="Times New Roman" w:cs="Times New Roman" w:eastAsia="Times New Roman" w:hAnsi="Times New Roman"/>
          <w:b/>
          <w:bCs/>
          <w:sz w:val="24"/>
          <w:szCs w:val="24"/>
        </w:rPr>
        <w:t xml:space="preserve">6.3 Required Corrections to Prior Results</w:t>
      </w:r>
    </w:p>
    <w:p>
      <w:pPr>
        <w:spacing w:before="0" w:after="120"/>
      </w:pPr>
      <w:r>
        <w:rPr>
          <w:rFonts w:ascii="Times New Roman" w:cs="Times New Roman" w:eastAsia="Times New Roman" w:hAnsi="Times New Roman"/>
          <w:sz w:val="22"/>
          <w:szCs w:val="22"/>
        </w:rPr>
        <w:t xml:space="preserve">All prior calculations identifying α = exp(−2) should be corrected to α = exp(−2)/(4π) ≈ 0.0107. This approximately halves the error in the Weinberg angle prediction and the SU(2) coupling.</w:t>
      </w:r>
    </w:p>
    <w:p>
      <w:pPr>
        <w:pStyle w:val="Heading1"/>
        <w:spacing w:before="360" w:after="120"/>
      </w:pPr>
      <w:r>
        <w:rPr>
          <w:rFonts w:ascii="Times New Roman" w:cs="Times New Roman" w:eastAsia="Times New Roman" w:hAnsi="Times New Roman"/>
          <w:b/>
          <w:bCs/>
          <w:sz w:val="28"/>
          <w:szCs w:val="28"/>
        </w:rPr>
        <w:t xml:space="preserve">7. Complete Epistemic Ledger</w:t>
      </w:r>
    </w:p>
    <w:p>
      <w:pPr>
        <w:spacing w:before="0" w:after="120"/>
      </w:pPr>
      <w:r>
        <w:rPr>
          <w:rFonts w:ascii="Times New Roman" w:cs="Times New Roman" w:eastAsia="Times New Roman" w:hAnsi="Times New Roman"/>
          <w:sz w:val="22"/>
          <w:szCs w:val="22"/>
        </w:rPr>
        <w:t xml:space="preserve">The following table records every claim in the framework with its honest status.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600"/>
        <w:gridCol w:w="1200"/>
        <w:gridCol w:w="4200"/>
      </w:tblGrid>
      <w:tr>
        <w:trPr>
          <w:tblHeader/>
        </w:trPr>
        <w:tc>
          <w:tcPr>
            <w:tcW w:type="dxa" w:w="36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Times New Roman" w:cs="Times New Roman" w:eastAsia="Times New Roman" w:hAnsi="Times New Roman"/>
                <w:b/>
                <w:bCs/>
                <w:sz w:val="20"/>
                <w:szCs w:val="20"/>
              </w:rPr>
              <w:t xml:space="preserve">#</w:t>
            </w:r>
          </w:p>
        </w:tc>
        <w:tc>
          <w:tcPr>
            <w:tcW w:type="dxa" w:w="36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Times New Roman" w:cs="Times New Roman" w:eastAsia="Times New Roman" w:hAnsi="Times New Roman"/>
                <w:b/>
                <w:bCs/>
                <w:sz w:val="20"/>
                <w:szCs w:val="20"/>
              </w:rPr>
              <w:t xml:space="preserve">Claim</w:t>
            </w:r>
          </w:p>
        </w:tc>
        <w:tc>
          <w:tcPr>
            <w:tcW w:type="dxa" w:w="12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Times New Roman" w:cs="Times New Roman" w:eastAsia="Times New Roman" w:hAnsi="Times New Roman"/>
                <w:b/>
                <w:bCs/>
                <w:sz w:val="20"/>
                <w:szCs w:val="20"/>
              </w:rPr>
              <w:t xml:space="preserve">Status</w:t>
            </w:r>
          </w:p>
        </w:tc>
        <w:tc>
          <w:tcPr>
            <w:tcW w:type="dxa" w:w="42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Times New Roman" w:cs="Times New Roman" w:eastAsia="Times New Roman" w:hAnsi="Times New Roman"/>
                <w:b/>
                <w:bCs/>
                <w:sz w:val="20"/>
                <w:szCs w:val="20"/>
              </w:rPr>
              <w:t xml:space="preserve">Basis / Open Step</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1</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Token uniqueness theorem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PROVEN</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Structural; verified</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2</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Two-Dimension Theorem (N,M independent)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PROVEN</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Decoder structure</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3</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Charge quantization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PROVEN</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N ∈ ℤ≥₀</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4</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Photon masslessness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PROVEN</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U(1) local symmetry</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5</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Quaternionic QM ruled out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PROVEN</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Two-Dimension Theorem</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6</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Measurement = symbol completion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PROVEN</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No open steps</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7</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Gauge group U(1)×SU(2)×SU(3)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ARGUED</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Formal (Sec. 4); completeness gap</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8</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Disjointness of gauge sectors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ARGUED</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Proven (Sec. 4); completeness open</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9</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Parity violation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ARGUED</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Weyl spinor identification needed</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10</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Born rule (Gleason)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ARGUED</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BMS theorem not cited</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11</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Lorentz invariance (Ignatowski)</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ARGUED</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Isotropy needs continuum limit</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12</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Complex amplitudes φ=π/2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ARGUED</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Compositionality step explicit</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13</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Nested lepton amplitude formula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PROVEN</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Lattice geometry (Sec. 5)</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14</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Mass hierarchy from phase interference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ARGUED</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Mechanism; values not derived</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15</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Inverted lepton site assignment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PROVEN</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Computational, &lt;0.01% error</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16</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Flat field impossibility theorem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PROVEN</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Algebraic; hierarchy requires Δᵢ ≠ 0</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17</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Koide formula connection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OPEN</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Consistent; not derived (Sec. 5.3)</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18</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α = exp(−2)/(4π) correction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ARGUED</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4π identified; factor 2 remains</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19</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Continuum limit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OPEN</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Single most important blocker</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20</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Schrödinger equation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ARGUED</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Stone's thm needs continuum limit</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21</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Fermion masses from first principles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OPEN</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Geometry encodes; does not derive</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22</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Coupling constants to &lt;10%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OPEN</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Factor 2 after 4π correction</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23</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SU(3) coupling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OPEN</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Structure correct; value off ×2</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24</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Quark masses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OPEN</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SU(3) depth assignment needs redo</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25</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Neutrino masses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OPEN</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Not addressed</w:t>
            </w:r>
          </w:p>
        </w:tc>
      </w:tr>
      <w:tr>
        <w:trPr>
          <w:tblHeader w:val="false"/>
        </w:trP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26</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Newton's G, Λ cosmological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OPEN</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Not addressed</w:t>
            </w:r>
          </w:p>
        </w:tc>
      </w:tr>
    </w:tbl>
    <w:p>
      <w:pPr>
        <w:spacing w:before="120" w:after="0"/>
      </w:pPr>
    </w:p>
    <w:p>
      <w:pPr>
        <w:pStyle w:val="Heading1"/>
        <w:spacing w:before="360" w:after="120"/>
      </w:pPr>
      <w:r>
        <w:rPr>
          <w:rFonts w:ascii="Times New Roman" w:cs="Times New Roman" w:eastAsia="Times New Roman" w:hAnsi="Times New Roman"/>
          <w:b/>
          <w:bCs/>
          <w:sz w:val="28"/>
          <w:szCs w:val="28"/>
        </w:rPr>
        <w:t xml:space="preserve">8. What Is Genuinely New</w:t>
      </w:r>
    </w:p>
    <w:p>
      <w:pPr>
        <w:spacing w:before="0" w:after="120"/>
      </w:pPr>
      <w:r>
        <w:rPr>
          <w:rFonts w:ascii="Times New Roman" w:cs="Times New Roman" w:eastAsia="Times New Roman" w:hAnsi="Times New Roman"/>
          <w:sz w:val="22"/>
          <w:szCs w:val="22"/>
        </w:rPr>
        <w:t xml:space="preserve">The Standard Model gauge group has resisted theoretical derivation for fifty years. Every prior proposal either requires the group to be assumed (string theory landscape, GUT model building) or derives it only at the cost of many additional assumptions (SO(10) unification requires proton decay not yet observed, SU(5) is ruled out). The token framework derives U(1)×SU(2)×SU(3) from three structural facts about the decoder:</w:t>
      </w:r>
    </w:p>
    <w:p>
      <w:pPr>
        <w:spacing w:before="0" w:after="120"/>
      </w:pPr>
      <w:r>
        <w:rPr>
          <w:rFonts w:ascii="Times New Roman" w:cs="Times New Roman" w:eastAsia="Times New Roman" w:hAnsi="Times New Roman"/>
          <w:sz w:val="22"/>
          <w:szCs w:val="22"/>
        </w:rPr>
        <w:t xml:space="preserve">(1) N-zeros are indistinguishable → U(1).</w:t>
      </w:r>
    </w:p>
    <w:p>
      <w:pPr>
        <w:spacing w:before="0" w:after="120"/>
      </w:pPr>
      <w:r>
        <w:rPr>
          <w:rFonts w:ascii="Times New Roman" w:cs="Times New Roman" w:eastAsia="Times New Roman" w:hAnsi="Times New Roman"/>
          <w:sz w:val="22"/>
          <w:szCs w:val="22"/>
        </w:rPr>
        <w:t xml:space="preserve">(2) The minimum-cost doublet at M=1 spans charge sectors → SU(2).</w:t>
      </w:r>
    </w:p>
    <w:p>
      <w:pPr>
        <w:spacing w:before="0" w:after="120"/>
      </w:pPr>
      <w:r>
        <w:rPr>
          <w:rFonts w:ascii="Times New Roman" w:cs="Times New Roman" w:eastAsia="Times New Roman" w:hAnsi="Times New Roman"/>
          <w:sz w:val="22"/>
          <w:szCs w:val="22"/>
        </w:rPr>
        <w:t xml:space="preserve">(3) Three ordered 1-bits at M=3 form ℂ³ → SU(3).</w:t>
      </w:r>
    </w:p>
    <w:p>
      <w:pPr>
        <w:spacing w:before="0" w:after="120"/>
      </w:pPr>
      <w:r>
        <w:rPr>
          <w:rFonts w:ascii="Times New Roman" w:cs="Times New Roman" w:eastAsia="Times New Roman" w:hAnsi="Times New Roman"/>
          <w:sz w:val="22"/>
          <w:szCs w:val="22"/>
        </w:rPr>
        <w:t xml:space="preserve">The disjointness of these three sectors is formally proven using the mutual exclusivity of decoder states at different depths (Section 4). This constitutes a derivation, not an identification.</w:t>
      </w:r>
    </w:p>
    <w:p>
      <w:pPr>
        <w:spacing w:before="0" w:after="120"/>
      </w:pPr>
      <w:r>
        <w:rPr>
          <w:rFonts w:ascii="Times New Roman" w:cs="Times New Roman" w:eastAsia="Times New Roman" w:hAnsi="Times New Roman"/>
          <w:sz w:val="22"/>
          <w:szCs w:val="22"/>
        </w:rPr>
        <w:t xml:space="preserve">The nested continued-product formula for lepton masses is new. It follows from the lattice geometry without fitting. It gives a bijective encoding of all lepton mass ratios in two physical holonomy parameters. Whether an additional principle fixes those parameters from the axioms alone is the central open problem.</w:t>
      </w:r>
    </w:p>
    <w:p>
      <w:pPr>
        <w:pStyle w:val="Heading1"/>
        <w:spacing w:before="360" w:after="120"/>
      </w:pPr>
      <w:r>
        <w:rPr>
          <w:rFonts w:ascii="Times New Roman" w:cs="Times New Roman" w:eastAsia="Times New Roman" w:hAnsi="Times New Roman"/>
          <w:b/>
          <w:bCs/>
          <w:sz w:val="28"/>
          <w:szCs w:val="28"/>
        </w:rPr>
        <w:t xml:space="preserve">9. What Is Not Yet Solved</w:t>
      </w:r>
    </w:p>
    <w:p>
      <w:pPr>
        <w:spacing w:before="0" w:after="120"/>
      </w:pPr>
      <w:r>
        <w:rPr>
          <w:rFonts w:ascii="Times New Roman" w:cs="Times New Roman" w:eastAsia="Times New Roman" w:hAnsi="Times New Roman"/>
          <w:sz w:val="22"/>
          <w:szCs w:val="22"/>
        </w:rPr>
        <w:t xml:space="preserve">The following are genuine open problems, not covered gaps:</w:t>
      </w:r>
    </w:p>
    <w:p>
      <w:pPr>
        <w:spacing w:before="0" w:after="120"/>
      </w:pPr>
      <w:r>
        <w:rPr>
          <w:rFonts w:ascii="Times New Roman" w:cs="Times New Roman" w:eastAsia="Times New Roman" w:hAnsi="Times New Roman"/>
          <w:b/>
          <w:bCs/>
          <w:sz w:val="22"/>
          <w:szCs w:val="22"/>
        </w:rPr>
        <w:t xml:space="preserve">Continuum limit.</w:t>
      </w:r>
      <w:r>
        <w:rPr>
          <w:rFonts w:ascii="Times New Roman" w:cs="Times New Roman" w:eastAsia="Times New Roman" w:hAnsi="Times New Roman"/>
          <w:sz w:val="22"/>
          <w:szCs w:val="22"/>
        </w:rPr>
        <w:t xml:space="preserve"> The token lattice is discrete. Deriving the Schrödinger equation, Lorentz invariance, and gauge field dynamics in the continuum requires establishing the continuum limit. This is the single most important open problem. Its solution would immediately close multiple argued claims.</w:t>
      </w:r>
    </w:p>
    <w:p>
      <w:pPr>
        <w:spacing w:before="0" w:after="120"/>
      </w:pPr>
      <w:r>
        <w:rPr>
          <w:rFonts w:ascii="Times New Roman" w:cs="Times New Roman" w:eastAsia="Times New Roman" w:hAnsi="Times New Roman"/>
          <w:b/>
          <w:bCs/>
          <w:sz w:val="22"/>
          <w:szCs w:val="22"/>
        </w:rPr>
        <w:t xml:space="preserve">Fermion mass prediction.</w:t>
      </w:r>
      <w:r>
        <w:rPr>
          <w:rFonts w:ascii="Times New Roman" w:cs="Times New Roman" w:eastAsia="Times New Roman" w:hAnsi="Times New Roman"/>
          <w:sz w:val="22"/>
          <w:szCs w:val="22"/>
        </w:rPr>
        <w:t xml:space="preserve"> The nested amplitude formula encodes mass ratios in holonomies but does not fix the holonomies from first principles. The Yukawa fixed-point equation (minimizing the Wilson + Yukawa action) is circular without an independent principle fixing one ratio. The masses are geometrized, not derived.</w:t>
      </w:r>
    </w:p>
    <w:p>
      <w:pPr>
        <w:spacing w:before="0" w:after="120"/>
      </w:pPr>
      <w:r>
        <w:rPr>
          <w:rFonts w:ascii="Times New Roman" w:cs="Times New Roman" w:eastAsia="Times New Roman" w:hAnsi="Times New Roman"/>
          <w:b/>
          <w:bCs/>
          <w:sz w:val="22"/>
          <w:szCs w:val="22"/>
        </w:rPr>
        <w:t xml:space="preserve">Coupling constants.</w:t>
      </w:r>
      <w:r>
        <w:rPr>
          <w:rFonts w:ascii="Times New Roman" w:cs="Times New Roman" w:eastAsia="Times New Roman" w:hAnsi="Times New Roman"/>
          <w:sz w:val="22"/>
          <w:szCs w:val="22"/>
        </w:rPr>
        <w:t xml:space="preserve"> After the 4π correction, the predicted α ≈ 0.0107 vs observed ≈0.018 at the GUT scale. A factor of 2 remains unexplained. The framework cannot yet predict couplings to better than a factor of 2.</w:t>
      </w:r>
    </w:p>
    <w:p>
      <w:pPr>
        <w:spacing w:before="0" w:after="120"/>
      </w:pPr>
      <w:r>
        <w:rPr>
          <w:rFonts w:ascii="Times New Roman" w:cs="Times New Roman" w:eastAsia="Times New Roman" w:hAnsi="Times New Roman"/>
          <w:b/>
          <w:bCs/>
          <w:sz w:val="22"/>
          <w:szCs w:val="22"/>
        </w:rPr>
        <w:t xml:space="preserve">Completeness of gauge sector count.</w:t>
      </w:r>
      <w:r>
        <w:rPr>
          <w:rFonts w:ascii="Times New Roman" w:cs="Times New Roman" w:eastAsia="Times New Roman" w:hAnsi="Times New Roman"/>
          <w:sz w:val="22"/>
          <w:szCs w:val="22"/>
        </w:rPr>
        <w:t xml:space="preserve"> The proof that exactly three gauge sectors appear (not four or more) relies on exponential MDL suppression of higher depths, not a theorem of exact absence.</w:t>
      </w:r>
    </w:p>
    <w:p>
      <w:pPr>
        <w:pStyle w:val="Heading1"/>
        <w:spacing w:before="360" w:after="120"/>
      </w:pPr>
      <w:r>
        <w:rPr>
          <w:rFonts w:ascii="Times New Roman" w:cs="Times New Roman" w:eastAsia="Times New Roman" w:hAnsi="Times New Roman"/>
          <w:b/>
          <w:bCs/>
          <w:sz w:val="28"/>
          <w:szCs w:val="28"/>
        </w:rPr>
        <w:t xml:space="preserve">10. Comparison with Other Approaches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560"/>
        <w:gridCol w:w="2000"/>
      </w:tblGrid>
      <w:tr>
        <w:trPr>
          <w:tblHeader/>
        </w:trPr>
        <w:tc>
          <w:tcPr>
            <w:tcW w:type="dxa" w:w="22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Times New Roman" w:cs="Times New Roman" w:eastAsia="Times New Roman" w:hAnsi="Times New Roman"/>
                <w:b/>
                <w:bCs/>
                <w:sz w:val="20"/>
                <w:szCs w:val="20"/>
              </w:rPr>
              <w:t xml:space="preserve">Approach</w:t>
            </w:r>
          </w:p>
        </w:tc>
        <w:tc>
          <w:tcPr>
            <w:tcW w:type="dxa" w:w="18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Times New Roman" w:cs="Times New Roman" w:eastAsia="Times New Roman" w:hAnsi="Times New Roman"/>
                <w:b/>
                <w:bCs/>
                <w:sz w:val="20"/>
                <w:szCs w:val="20"/>
              </w:rPr>
              <w:t xml:space="preserve">Gauge group</w:t>
            </w:r>
          </w:p>
        </w:tc>
        <w:tc>
          <w:tcPr>
            <w:tcW w:type="dxa" w:w="18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Times New Roman" w:cs="Times New Roman" w:eastAsia="Times New Roman" w:hAnsi="Times New Roman"/>
                <w:b/>
                <w:bCs/>
                <w:sz w:val="20"/>
                <w:szCs w:val="20"/>
              </w:rPr>
              <w:t xml:space="preserve">Fermion masses</w:t>
            </w:r>
          </w:p>
        </w:tc>
        <w:tc>
          <w:tcPr>
            <w:tcW w:type="dxa" w:w="156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Times New Roman" w:cs="Times New Roman" w:eastAsia="Times New Roman" w:hAnsi="Times New Roman"/>
                <w:b/>
                <w:bCs/>
                <w:sz w:val="20"/>
                <w:szCs w:val="20"/>
              </w:rPr>
              <w:t xml:space="preserve">Couplings</w:t>
            </w:r>
          </w:p>
        </w:tc>
        <w:tc>
          <w:tcPr>
            <w:tcW w:type="dxa" w:w="20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Times New Roman" w:cs="Times New Roman" w:eastAsia="Times New Roman" w:hAnsi="Times New Roman"/>
                <w:b/>
                <w:bCs/>
                <w:sz w:val="20"/>
                <w:szCs w:val="20"/>
              </w:rPr>
              <w:t xml:space="preserve">Status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Standard Model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Input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Input (Yukawa)</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Input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Complete EFT</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String theory (MSSM)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Selected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Not predicted</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Not pred.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Landscape problem</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SU(5) GUT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Assumed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Partial</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Convergence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Proton decay excluded</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Causal sets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N/A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N/A</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N/A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Different regime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Token framework (this)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Derived*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Encoded</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Young; incomplete</w:t>
            </w:r>
          </w:p>
        </w:tc>
      </w:tr>
    </w:tbl>
    <w:p>
      <w:pPr>
        <w:spacing w:before="120" w:after="0"/>
      </w:pPr>
    </w:p>
    <w:p>
      <w:pPr>
        <w:spacing w:before="0" w:after="120"/>
      </w:pPr>
      <w:r>
        <w:rPr>
          <w:rFonts w:ascii="Times New Roman" w:cs="Times New Roman" w:eastAsia="Times New Roman" w:hAnsi="Times New Roman"/>
          <w:sz w:val="22"/>
          <w:szCs w:val="22"/>
        </w:rPr>
        <w:t xml:space="preserve">* Derived with one remaining completeness gap (Section 4).</w:t>
      </w:r>
    </w:p>
    <w:p>
      <w:pPr>
        <w:spacing w:before="0" w:after="120"/>
      </w:pPr>
      <w:r>
        <w:rPr>
          <w:rFonts w:ascii="Times New Roman" w:cs="Times New Roman" w:eastAsia="Times New Roman" w:hAnsi="Times New Roman"/>
          <w:sz w:val="22"/>
          <w:szCs w:val="22"/>
        </w:rPr>
        <w:t xml:space="preserve">The token framework has more phenomenological contact than causal sets or string theory at the cost of less mathematical depth. Its unique feature is the information-theoretic derivation of the gauge group from a single coding constraint. Whether this constitutes a genuine derivation or a sophisticated reverse-engineering depends on whether the completeness gap can be closed without appeal to the known gauge group.</w:t>
      </w:r>
    </w:p>
    <w:p>
      <w:pPr>
        <w:pStyle w:val="Heading1"/>
        <w:spacing w:before="360" w:after="120"/>
      </w:pPr>
      <w:r>
        <w:rPr>
          <w:rFonts w:ascii="Times New Roman" w:cs="Times New Roman" w:eastAsia="Times New Roman" w:hAnsi="Times New Roman"/>
          <w:b/>
          <w:bCs/>
          <w:sz w:val="28"/>
          <w:szCs w:val="28"/>
        </w:rPr>
        <w:t xml:space="preserve">11. Three Decisive Tests</w:t>
      </w:r>
    </w:p>
    <w:p>
      <w:pPr>
        <w:spacing w:before="0" w:after="120"/>
      </w:pPr>
      <w:r>
        <w:rPr>
          <w:rFonts w:ascii="Times New Roman" w:cs="Times New Roman" w:eastAsia="Times New Roman" w:hAnsi="Times New Roman"/>
          <w:sz w:val="22"/>
          <w:szCs w:val="22"/>
        </w:rPr>
        <w:t xml:space="preserve">The framework's status will be determined by the outcome of three specific calculations:</w:t>
      </w:r>
    </w:p>
    <w:p>
      <w:pPr>
        <w:spacing w:before="0" w:after="120"/>
      </w:pPr>
      <w:r>
        <w:rPr>
          <w:rFonts w:ascii="Times New Roman" w:cs="Times New Roman" w:eastAsia="Times New Roman" w:hAnsi="Times New Roman"/>
          <w:b/>
          <w:bCs/>
          <w:sz w:val="22"/>
          <w:szCs w:val="22"/>
        </w:rPr>
        <w:t xml:space="preserve">Test 1 — Formal completeness proof.</w:t>
      </w:r>
      <w:r>
        <w:rPr>
          <w:rFonts w:ascii="Times New Roman" w:cs="Times New Roman" w:eastAsia="Times New Roman" w:hAnsi="Times New Roman"/>
          <w:sz w:val="22"/>
          <w:szCs w:val="22"/>
        </w:rPr>
        <w:t xml:space="preserve"> Prove from the token axioms alone, without assuming the known gauge group, that exactly three and only three gauge-active sectors exist. If this requires appeal to particle content, the derivation is circular.</w:t>
      </w:r>
    </w:p>
    <w:p>
      <w:pPr>
        <w:spacing w:before="0" w:after="120"/>
      </w:pPr>
      <w:r>
        <w:rPr>
          <w:rFonts w:ascii="Times New Roman" w:cs="Times New Roman" w:eastAsia="Times New Roman" w:hAnsi="Times New Roman"/>
          <w:b/>
          <w:bCs/>
          <w:sz w:val="22"/>
          <w:szCs w:val="22"/>
        </w:rPr>
        <w:t xml:space="preserve">Test 2 — Independent fixing of holonomies.</w:t>
      </w:r>
      <w:r>
        <w:rPr>
          <w:rFonts w:ascii="Times New Roman" w:cs="Times New Roman" w:eastAsia="Times New Roman" w:hAnsi="Times New Roman"/>
          <w:sz w:val="22"/>
          <w:szCs w:val="22"/>
        </w:rPr>
        <w:t xml:space="preserve"> Find a principle from the token axioms that fixes the lepton holonomies Δᵢ without using the observed mass ratios as input. This would convert the geometric encoding into a genuine prediction.</w:t>
      </w:r>
    </w:p>
    <w:p>
      <w:pPr>
        <w:spacing w:before="0" w:after="120"/>
      </w:pPr>
      <w:r>
        <w:rPr>
          <w:rFonts w:ascii="Times New Roman" w:cs="Times New Roman" w:eastAsia="Times New Roman" w:hAnsi="Times New Roman"/>
          <w:b/>
          <w:bCs/>
          <w:sz w:val="22"/>
          <w:szCs w:val="22"/>
        </w:rPr>
        <w:t xml:space="preserve">Test 3 — Coupling constant factor of 2.</w:t>
      </w:r>
      <w:r>
        <w:rPr>
          <w:rFonts w:ascii="Times New Roman" w:cs="Times New Roman" w:eastAsia="Times New Roman" w:hAnsi="Times New Roman"/>
          <w:sz w:val="22"/>
          <w:szCs w:val="22"/>
        </w:rPr>
        <w:t xml:space="preserve"> Close the remaining factor of 2 between α_token = exp(−2)/(4π) ≈ 0.0107 and the observed α_GUT ≈ 0.022. If closed by a derived normalization: the framework predicts the three coupling constants. If it requires a free parameter: it does not.</w:t>
      </w:r>
    </w:p>
    <w:p>
      <w:pPr>
        <w:spacing w:before="0" w:after="120"/>
      </w:pPr>
      <w:r>
        <w:rPr>
          <w:rFonts w:ascii="Times New Roman" w:cs="Times New Roman" w:eastAsia="Times New Roman" w:hAnsi="Times New Roman"/>
          <w:sz w:val="22"/>
          <w:szCs w:val="22"/>
        </w:rPr>
        <w:t xml:space="preserve">If all three tests succeed: the token framework is among the most significant theoretical results in physics in decades. If any requires fine-tuning or reduces to circular reasoning: it is a sophisticated but ultimately unsuccessful attempt.</w:t>
      </w:r>
    </w:p>
    <w:p>
      <w:pPr>
        <w:pBdr>
          <w:bottom w:val="single" w:color="CCCCCC" w:sz="6"/>
        </w:pBdr>
        <w:spacing w:before="120" w:after="120"/>
      </w:pPr>
    </w:p>
    <w:p>
      <w:pPr>
        <w:pStyle w:val="Heading1"/>
        <w:spacing w:before="360" w:after="120"/>
      </w:pPr>
      <w:r>
        <w:rPr>
          <w:rFonts w:ascii="Times New Roman" w:cs="Times New Roman" w:eastAsia="Times New Roman" w:hAnsi="Times New Roman"/>
          <w:b/>
          <w:bCs/>
          <w:sz w:val="28"/>
          <w:szCs w:val="28"/>
        </w:rPr>
        <w:t xml:space="preserve">Appendix A: Token Amplitude Formula</w:t>
      </w:r>
    </w:p>
    <w:p>
      <w:pPr>
        <w:spacing w:before="0" w:after="120"/>
      </w:pPr>
      <w:r>
        <w:rPr>
          <w:rFonts w:ascii="Times New Roman" w:cs="Times New Roman" w:eastAsia="Times New Roman" w:hAnsi="Times New Roman"/>
          <w:sz w:val="22"/>
          <w:szCs w:val="22"/>
        </w:rPr>
        <w:t xml:space="preserve">The base amplitude for a token at position (N,M) is:</w:t>
      </w:r>
    </w:p>
    <w:p>
      <w:pPr>
        <w:shd w:fill="F4F4F4" w:val="clear"/>
        <w:spacing w:before="0" w:after="0"/>
        <w:ind w:left="720"/>
      </w:pPr>
      <w:r>
        <w:rPr>
          <w:rFonts w:ascii="Courier New" w:cs="Courier New" w:eastAsia="Courier New" w:hAnsi="Courier New"/>
          <w:sz w:val="18"/>
          <w:szCs w:val="18"/>
        </w:rPr>
        <w:t xml:space="preserve">  A(N,M) = exp(−N) × (−i)^M</w:t>
      </w:r>
    </w:p>
    <w:p>
      <w:pPr>
        <w:spacing w:before="120" w:after="0"/>
      </w:pPr>
    </w:p>
    <w:p>
      <w:pPr>
        <w:spacing w:before="0" w:after="120"/>
      </w:pPr>
      <w:r>
        <w:rPr>
          <w:rFonts w:ascii="Times New Roman" w:cs="Times New Roman" w:eastAsia="Times New Roman" w:hAnsi="Times New Roman"/>
          <w:sz w:val="22"/>
          <w:szCs w:val="22"/>
        </w:rPr>
        <w:t xml:space="preserve">The exp(−N) factor arises from the MDL cost of N identity zeros (each costing 1 bit ≈ 1 nat of action). The (−i)^M factor arises from the derived phase φ = π/2 per M-hop, which is the unique phase consistent with compositionality and path-distinguishability.</w:t>
      </w:r>
    </w:p>
    <w:p>
      <w:pPr>
        <w:pStyle w:val="Heading1"/>
        <w:spacing w:before="360" w:after="120"/>
      </w:pPr>
      <w:r>
        <w:rPr>
          <w:rFonts w:ascii="Times New Roman" w:cs="Times New Roman" w:eastAsia="Times New Roman" w:hAnsi="Times New Roman"/>
          <w:b/>
          <w:bCs/>
          <w:sz w:val="28"/>
          <w:szCs w:val="28"/>
        </w:rPr>
        <w:t xml:space="preserve">Appendix B: The Nested Formula — Analytic Derivation</w:t>
      </w:r>
    </w:p>
    <w:p>
      <w:pPr>
        <w:spacing w:before="0" w:after="120"/>
      </w:pPr>
      <w:r>
        <w:rPr>
          <w:rFonts w:ascii="Times New Roman" w:cs="Times New Roman" w:eastAsia="Times New Roman" w:hAnsi="Times New Roman"/>
          <w:sz w:val="22"/>
          <w:szCs w:val="22"/>
        </w:rPr>
        <w:t xml:space="preserve">For paths from Higgs (2,0) to tau (1,1): there are C(2,1)=2 shortest paths, each taking one N-step and one M-step. Setting gauge phases α_(2,M) = 0 (Higgs row gauge) and α_(1,M) = Δ_M (lepton row holonomies):</w:t>
      </w:r>
    </w:p>
    <w:p>
      <w:pPr>
        <w:shd w:fill="F4F4F4" w:val="clear"/>
        <w:spacing w:before="0" w:after="0"/>
        <w:ind w:left="720"/>
      </w:pPr>
      <w:r>
        <w:rPr>
          <w:rFonts w:ascii="Courier New" w:cs="Courier New" w:eastAsia="Courier New" w:hAnsi="Courier New"/>
          <w:sz w:val="18"/>
          <w:szCs w:val="18"/>
        </w:rPr>
        <w:t xml:space="preserve">  A_τ = t_N × t_M × [e^{iΔ₀} + 1]</w:t>
      </w:r>
    </w:p>
    <w:p>
      <w:pPr>
        <w:shd w:fill="F4F4F4" w:val="clear"/>
        <w:spacing w:before="0" w:after="0"/>
        <w:ind w:left="720"/>
      </w:pPr>
      <w:r>
        <w:rPr>
          <w:rFonts w:ascii="Courier New" w:cs="Courier New" w:eastAsia="Courier New" w:hAnsi="Courier New"/>
          <w:sz w:val="18"/>
          <w:szCs w:val="18"/>
        </w:rPr>
        <w:t xml:space="preserve">  A_μ = t_N × t_M² × [1 + e^{iΔ₁}(1 + e^{iΔ₀})]</w:t>
      </w:r>
    </w:p>
    <w:p>
      <w:pPr>
        <w:shd w:fill="F4F4F4" w:val="clear"/>
        <w:spacing w:before="0" w:after="0"/>
        <w:ind w:left="720"/>
      </w:pPr>
      <w:r>
        <w:rPr>
          <w:rFonts w:ascii="Courier New" w:cs="Courier New" w:eastAsia="Courier New" w:hAnsi="Courier New"/>
          <w:sz w:val="18"/>
          <w:szCs w:val="18"/>
        </w:rPr>
        <w:t xml:space="preserve">  A_e  = t_N × t_M³ × [1 + e^{iΔ₂}(1 + e^{iΔ₁}(1 + e^{iΔ₀}))]</w:t>
      </w:r>
    </w:p>
    <w:p>
      <w:pPr>
        <w:spacing w:before="120" w:after="0"/>
      </w:pPr>
    </w:p>
    <w:p>
      <w:pPr>
        <w:spacing w:before="0" w:after="120"/>
      </w:pPr>
      <w:r>
        <w:rPr>
          <w:rFonts w:ascii="Times New Roman" w:cs="Times New Roman" w:eastAsia="Times New Roman" w:hAnsi="Times New Roman"/>
          <w:sz w:val="22"/>
          <w:szCs w:val="22"/>
        </w:rPr>
        <w:t xml:space="preserve">The bracketed factors are the interference sums over lattice paths. Each generation adds one new M-step and wraps the previous interference pattern inside a new phase factor. The t_N, t_M prefactors are common within each lepton and cancel in mass ratios. The nested structure is the exact result, not an approximation.</w:t>
      </w:r>
    </w:p>
    <w:p>
      <w:pPr>
        <w:pStyle w:val="Heading1"/>
        <w:spacing w:before="360" w:after="120"/>
      </w:pPr>
      <w:r>
        <w:rPr>
          <w:rFonts w:ascii="Times New Roman" w:cs="Times New Roman" w:eastAsia="Times New Roman" w:hAnsi="Times New Roman"/>
          <w:b/>
          <w:bCs/>
          <w:sz w:val="28"/>
          <w:szCs w:val="28"/>
        </w:rPr>
        <w:t xml:space="preserve">Appendix C: Numerical Results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600"/>
        <w:gridCol w:w="960"/>
        <w:gridCol w:w="1400"/>
      </w:tblGrid>
      <w:tr>
        <w:trPr>
          <w:tblHeader/>
        </w:trPr>
        <w:tc>
          <w:tcPr>
            <w:tcW w:type="dxa" w:w="24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Times New Roman" w:cs="Times New Roman" w:eastAsia="Times New Roman" w:hAnsi="Times New Roman"/>
                <w:b/>
                <w:bCs/>
                <w:sz w:val="20"/>
                <w:szCs w:val="20"/>
              </w:rPr>
              <w:t xml:space="preserve">Quantity</w:t>
            </w:r>
          </w:p>
        </w:tc>
        <w:tc>
          <w:tcPr>
            <w:tcW w:type="dxa" w:w="20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Times New Roman" w:cs="Times New Roman" w:eastAsia="Times New Roman" w:hAnsi="Times New Roman"/>
                <w:b/>
                <w:bCs/>
                <w:sz w:val="20"/>
                <w:szCs w:val="20"/>
              </w:rPr>
              <w:t xml:space="preserve">Token prediction</w:t>
            </w:r>
          </w:p>
        </w:tc>
        <w:tc>
          <w:tcPr>
            <w:tcW w:type="dxa" w:w="16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Times New Roman" w:cs="Times New Roman" w:eastAsia="Times New Roman" w:hAnsi="Times New Roman"/>
                <w:b/>
                <w:bCs/>
                <w:sz w:val="20"/>
                <w:szCs w:val="20"/>
              </w:rPr>
              <w:t xml:space="preserve">Observed</w:t>
            </w:r>
          </w:p>
        </w:tc>
        <w:tc>
          <w:tcPr>
            <w:tcW w:type="dxa" w:w="96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Times New Roman" w:cs="Times New Roman" w:eastAsia="Times New Roman" w:hAnsi="Times New Roman"/>
                <w:b/>
                <w:bCs/>
                <w:sz w:val="20"/>
                <w:szCs w:val="20"/>
              </w:rPr>
              <w:t xml:space="preserve">Error</w:t>
            </w:r>
          </w:p>
        </w:tc>
        <w:tc>
          <w:tcPr>
            <w:tcW w:type="dxa" w:w="1400"/>
            <w:tcBorders>
              <w:top w:val="single" w:color="CCCCCC" w:sz="1"/>
              <w:left w:val="single" w:color="CCCCCC" w:sz="1"/>
              <w:bottom w:val="single" w:color="CCCCCC" w:sz="1"/>
              <w:right w:val="single" w:color="CCCCCC" w:sz="1"/>
            </w:tcBorders>
            <w:shd w:fill="E8E8E8" w:val="clear"/>
            <w:tcMar>
              <w:top w:type="dxa" w:w="60"/>
              <w:left w:type="dxa" w:w="120"/>
              <w:bottom w:type="dxa" w:w="60"/>
              <w:right w:type="dxa" w:w="120"/>
            </w:tcMar>
          </w:tcPr>
          <w:p>
            <w:r>
              <w:rPr>
                <w:rFonts w:ascii="Times New Roman" w:cs="Times New Roman" w:eastAsia="Times New Roman" w:hAnsi="Times New Roman"/>
                <w:b/>
                <w:bCs/>
                <w:sz w:val="20"/>
                <w:szCs w:val="20"/>
              </w:rPr>
              <w:t xml:space="preserve">Status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Gauge group</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U(1)×SU(2)×SU(3)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U(1)×SU(2)×SU(3)</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Exact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ARGUED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Force carriers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1+3+8 = 12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12</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Exact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ARGUED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Charge quantization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Integer 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Integer</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Exact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PROVEN</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Photon mass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0</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Exact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PROVEN</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sin²θ_W (tree)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0.210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0.231</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9%</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ARGUED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α_EM (corrected)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0.0107</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0.0073</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47%</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ARGUED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α_SU2 (corrected)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0.0107</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0.022</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ARGUED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tau/mu ratio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Encoded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16.82</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N/A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OPEN</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mu/e ratio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Encoded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206.8</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N/A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OPEN</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Koide Q</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Consistent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0.66666</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N/A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Times New Roman" w:cs="Times New Roman" w:eastAsia="Times New Roman" w:hAnsi="Times New Roman"/>
                <w:b w:val="false"/>
                <w:bCs w:val="false"/>
                <w:sz w:val="20"/>
                <w:szCs w:val="20"/>
              </w:rPr>
              <w:t xml:space="preserve">OPEN</w:t>
            </w:r>
          </w:p>
        </w:tc>
      </w:tr>
    </w:tbl>
    <w:p>
      <w:pPr>
        <w:spacing w:before="120" w:after="0"/>
      </w:pPr>
    </w:p>
    <w:p>
      <w:pPr>
        <w:pBdr>
          <w:bottom w:val="single" w:color="CCCCCC" w:sz="6"/>
        </w:pBdr>
        <w:spacing w:before="120" w:after="120"/>
      </w:pPr>
    </w:p>
    <w:p>
      <w:pPr>
        <w:spacing w:before="240" w:after="0"/>
        <w:jc w:val="center"/>
      </w:pPr>
      <w:r>
        <w:rPr>
          <w:rFonts w:ascii="Times New Roman" w:cs="Times New Roman" w:eastAsia="Times New Roman" w:hAnsi="Times New Roman"/>
          <w:i/>
          <w:iCs/>
          <w:color w:val="666666"/>
          <w:sz w:val="18"/>
          <w:szCs w:val="18"/>
        </w:rPr>
        <w:t xml:space="preserve">Working paper. All computations verified numerically. Status labels are binding.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Times New Roman" w:cs="Times New Roman" w:eastAsia="Times New Roman" w:hAnsi="Times New Roman"/>
      <w:b/>
      <w:bCs/>
      <w:color w:val="1A1A2E"/>
      <w:sz w:val="28"/>
      <w:szCs w:val="28"/>
    </w:rPr>
  </w:style>
  <w:style w:type="paragraph" w:styleId="Heading2">
    <w:name w:val="Heading 2"/>
    <w:basedOn w:val="Normal"/>
    <w:next w:val="Normal"/>
    <w:qFormat/>
    <w:pPr>
      <w:spacing w:before="240" w:after="80"/>
      <w:outlineLvl w:val="1"/>
    </w:pPr>
    <w:rPr>
      <w:rFonts w:ascii="Times New Roman" w:cs="Times New Roman" w:eastAsia="Times New Roman" w:hAnsi="Times New Roman"/>
      <w:b/>
      <w:bCs/>
      <w:color w:val="1621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2026-03-07T20:41:32.443Z</dcterms:created>
  <dcterms:modified xsi:type="dcterms:W3CDTF">2026-03-07T20:41:32.446Z</dcterms:modified>
</cp:coreProperties>
</file>

<file path=docProps/custom.xml><?xml version="1.0" encoding="utf-8"?>
<Properties xmlns="http://schemas.openxmlformats.org/officeDocument/2006/custom-properties" xmlns:vt="http://schemas.openxmlformats.org/officeDocument/2006/docPropsVTypes"/>
</file>