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808080"/>
          <w:sz w:val="20"/>
          <w:szCs w:val="20"/>
        </w:rPr>
        <w:t xml:space="preserve">PROJECT MANUAL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SECTION 26 33 53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STATIC UNINTERRUPTIBLE POWER SUPPLY (UPS) SYSTEM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Ironwood Point Data Center — Building A, Phase 1</w:t>
      </w:r>
    </w:p>
    <w:p>
      <w:pPr>
        <w:spacing w:after="300"/>
        <w:jc w:val="center"/>
      </w:pPr>
      <w:r>
        <w:rPr>
          <w:color w:val="595959"/>
          <w:sz w:val="20"/>
          <w:szCs w:val="20"/>
        </w:rPr>
        <w:t xml:space="preserve">Meridian Data Centers, LLC  |  Project No. MDC-2026-0417  |  Issued for Construction  |  Rev. 2 — 06/12/2026</w:t>
      </w:r>
    </w:p>
    <w:p>
      <w:pPr>
        <w:pStyle w:val="Heading1"/>
        <w:spacing w:after="160" w:before="320"/>
      </w:pPr>
      <w:r>
        <w:rPr>
          <w:b/>
          <w:bCs/>
        </w:rPr>
        <w:t xml:space="preserve">PART 1 — GENERAL</w:t>
      </w:r>
    </w:p>
    <w:p>
      <w:pPr>
        <w:pStyle w:val="Heading2"/>
        <w:spacing w:after="120" w:before="240"/>
      </w:pPr>
      <w:r>
        <w:rPr>
          <w:b/>
          <w:bCs/>
        </w:rPr>
        <w:t xml:space="preserve">1.1  SUMMARY</w:t>
      </w:r>
    </w:p>
    <w:p>
      <w:pPr>
        <w:spacing w:after="120"/>
      </w:pPr>
      <w:r>
        <w:t xml:space="preserve">A. This Section specifies modular, double-conversion (VFI, per IEC 62040-3) static uninterruptible power supply (UPS) systems, associated battery energy storage, and factory-integrated distribution for the Building A data hall critical power chain.</w:t>
      </w:r>
    </w:p>
    <w:p>
      <w:pPr>
        <w:spacing w:after="120"/>
      </w:pPr>
      <w:r>
        <w:t xml:space="preserve">B. Section Includes: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 power modules and system cabinet(s), configured N+1 within each system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Valve-regulated lead-acid (VRLA) battery cabinets and battery monitoring system (BMS)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Integral maintenance bypass and output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Remote monitoring, building management system (BMS/BAS) integration, and network management 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Factory witness testing, startup, and commissioning support</w:t>
      </w:r>
    </w:p>
    <w:p>
      <w:pPr>
        <w:spacing w:after="120"/>
      </w:pPr>
      <w:r>
        <w:t xml:space="preserve">C. Related Sections: 26 24 13 (Switchboards), 26 24 16 (Panelboards), 26 36 00 (Automatic Transfer Switches), 27 05 00 (DCIM / SCADA Integration).</w:t>
      </w:r>
    </w:p>
    <w:p>
      <w:pPr>
        <w:pStyle w:val="Heading2"/>
        <w:spacing w:after="120" w:before="240"/>
      </w:pPr>
      <w:r>
        <w:rPr>
          <w:b/>
          <w:bCs/>
        </w:rPr>
        <w:t xml:space="preserve">1.2 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IEC 62040-1 — UPS Safety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IEC 62040-2 — UPS EMC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IEC 62040-3 — UPS Method of Specifying Performance and Test Requirements (VFI classification)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UL 1778 — Standard for Uninterruptible Power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NFPA 70 (NEC) — Article 645, Article 480 (Storage Batteries)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IEEE 1100 (Emerald Book) — Powering and Grounding Electronic Equipment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Uptime Institute Tier III — Concurrently Maintainable Site Infrastructure (basis of design)</w:t>
      </w:r>
    </w:p>
    <w:p>
      <w:pPr>
        <w:pStyle w:val="Heading2"/>
        <w:spacing w:after="120" w:before="240"/>
      </w:pPr>
      <w:r>
        <w:rPr>
          <w:b/>
          <w:bCs/>
        </w:rPr>
        <w:t xml:space="preserve">1.3  SUBMITTALS</w:t>
      </w:r>
    </w:p>
    <w:p>
      <w:pPr>
        <w:spacing w:after="120"/>
      </w:pPr>
      <w:r>
        <w:t xml:space="preserve">A. Product Data: Manufacturer's catalog data, nameplate ratings, dimensioned drawings, weight, and heat rejection (BTU/hr) for each UPS module and battery cabinet.</w:t>
      </w:r>
    </w:p>
    <w:p>
      <w:pPr>
        <w:spacing w:after="120"/>
      </w:pPr>
      <w:r>
        <w:t xml:space="preserve">B. Shop Drawings: Single-line diagrams, front/rear elevations, conduit entry locations, and floor loading data.</w:t>
      </w:r>
    </w:p>
    <w:p>
      <w:pPr>
        <w:spacing w:after="120"/>
      </w:pPr>
      <w:r>
        <w:t xml:space="preserve">C. Battery Calculations: Manufacturer's battery sizing calculation demonstrating compliance with the autonomy time specified in Part 2 at the stated load and end-of-discharge voltage, per IEEE 485.</w:t>
      </w:r>
    </w:p>
    <w:p>
      <w:pPr>
        <w:spacing w:after="120"/>
      </w:pPr>
      <w:r>
        <w:t xml:space="preserve">D. Test Reports: Factory witness test (FWT) report and, where applicable, third-party certification (UL/CSA/ETL) for the specific model submitted.</w:t>
      </w:r>
    </w:p>
    <w:p>
      <w:pPr>
        <w:spacing w:after="120"/>
      </w:pPr>
      <w:r>
        <w:t xml:space="preserve">E. O&amp;M Manuals and as-built single-line diagrams at Substantial Completion.</w:t>
      </w:r>
    </w:p>
    <w:p>
      <w:pPr>
        <w:pStyle w:val="Heading2"/>
        <w:spacing w:after="120" w:before="240"/>
      </w:pPr>
      <w:r>
        <w:rPr>
          <w:b/>
          <w:bCs/>
        </w:rPr>
        <w:t xml:space="preserve">1.4  QUALITY ASSURANCE</w:t>
      </w:r>
    </w:p>
    <w:p>
      <w:pPr>
        <w:spacing w:after="120"/>
      </w:pPr>
      <w:r>
        <w:t xml:space="preserve">A. Manufacturer Qualifications: Minimum 10 years documented experience manufacturing UPS equipment of the type and capacity specified, with a factory-authorized service organization within 100 miles of the Site capable of 4-hour emergency response.</w:t>
      </w:r>
    </w:p>
    <w:p>
      <w:pPr>
        <w:spacing w:after="120"/>
      </w:pPr>
      <w:r>
        <w:t xml:space="preserve">B. All equipment furnished under this Section shall be new, of current production, and listed by a Nationally Recognized Testing Laboratory (NRTL).</w:t>
      </w:r>
    </w:p>
    <w:p>
      <w:pPr>
        <w:pStyle w:val="Heading2"/>
        <w:spacing w:after="120" w:before="240"/>
      </w:pPr>
      <w:r>
        <w:rPr>
          <w:b/>
          <w:bCs/>
        </w:rPr>
        <w:t xml:space="preserve">1.5  WARRANTY</w:t>
      </w:r>
    </w:p>
    <w:p>
      <w:pPr>
        <w:spacing w:after="120"/>
      </w:pPr>
      <w:r>
        <w:t xml:space="preserve">A. Manufacturer's standard parts and labor warranty: minimum 2 years from Substantial Completion, extendable to 5 years via service agreement.</w:t>
      </w:r>
    </w:p>
    <w:p>
      <w:pPr>
        <w:spacing w:after="120"/>
      </w:pPr>
      <w:r>
        <w:t xml:space="preserve">B. Battery warranty: minimum 3 years full replacement, prorated to year 7, per manufacturer's published warranty schedule.</w:t>
      </w:r>
    </w:p>
    <w:p>
      <w:pPr>
        <w:pStyle w:val="Heading1"/>
        <w:spacing w:after="160" w:before="320"/>
      </w:pPr>
      <w:r>
        <w:rPr>
          <w:b/>
          <w:bCs/>
        </w:rPr>
        <w:t xml:space="preserve">PART 2 — PRODUCTS</w:t>
      </w:r>
    </w:p>
    <w:p>
      <w:pPr>
        <w:pStyle w:val="Heading2"/>
        <w:spacing w:after="120" w:before="240"/>
      </w:pPr>
      <w:r>
        <w:rPr>
          <w:b/>
          <w:bCs/>
        </w:rPr>
        <w:t xml:space="preserve">2.1  MANUFACTURERS</w:t>
      </w:r>
    </w:p>
    <w:p>
      <w:pPr>
        <w:spacing w:after="120"/>
      </w:pPr>
      <w:r>
        <w:t xml:space="preserve">A. Basis of Design: Schneider Electric Galaxy VX, or approved equal by Eaton (93PM) or Vertiv (Liebert EXL S1).</w:t>
      </w:r>
    </w:p>
    <w:p>
      <w:pPr>
        <w:spacing w:after="120"/>
      </w:pPr>
      <w:r>
        <w:t xml:space="preserve">B. Substitutions: Requests for substitution shall be submitted in accordance with Section 01 25 00 and demonstrate compliance with all performance criteria of Part 2 herein; partial compliance is not acceptable without Engineer's written approval.</w:t>
      </w:r>
    </w:p>
    <w:p>
      <w:pPr>
        <w:pStyle w:val="Heading2"/>
        <w:spacing w:after="120" w:before="240"/>
      </w:pPr>
      <w:r>
        <w:rPr>
          <w:b/>
          <w:bCs/>
        </w:rPr>
        <w:t xml:space="preserve">2.2  SYSTEM CONFIGURATION AND 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8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280"/>
            <w:shd w:fill="D9D9D9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System Topology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 conversion, on-line (VFI-SS-111 per IEC 62040-3)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Rated Capacity (per module)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kVA / 500 kW at unity output power factor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System Redundancy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N+1 modular configuration, minimum 2 modules per frame, hot-swappable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Input Voltage / Phase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480 VAC, 3-phase, 3-wire + ground, 60 Hz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Output Voltage / Phase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480 VAC, 3-phase, 3-wire + ground, 60 Hz, ±1%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Input Frequency Range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Hz ±5%, walk-in on restoration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Input Current Total Harmonic Distortion (THDi)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5% at full rated linear load, without input filter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Output Voltage THD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2% linear load, &lt; 5% non-linear load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Overall AC-AC Efficiency (Double Conversion Mode)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97.0% at 40–100% load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ECO / High-Efficiency Mode Efficiency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99.0% (available; not enabled for Tier III operation without Owner approval)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Overload Capacity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125% for 10 minutes; 150% for 1 minute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Battery Backup / Autonomy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minutes minimum at full rated load (500 kW), new battery, 25°C, to end-of-discharge voltage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Battery Type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Valve-regulated lead-acid (VRLA), sealed, telecom-grade, front-access, seismic-rated rack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Parallel Capability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6 modules in parallel via factory system bus, no single point of failure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Acoustic Noise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72 dBA at 1 meter, full load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Operating Temperature Range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0°C to 40°C (32°F to 104°F)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Operating Relative Humidity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0–95% non-condensing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Altitude (no derate)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 to 1,000 m (3,300 ft)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Enclosure Rating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NEMA 1 / IP20 minimum, front and rear service access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20"/>
                <w:szCs w:val="20"/>
              </w:rPr>
              <w:t xml:space="preserve">Ground Fault / Insulation Monitoring</w:t>
            </w:r>
          </w:p>
        </w:tc>
        <w:tc>
          <w:tcPr>
            <w:tcW w:type="dxa" w:w="628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Integral, per NEC Article 250 and Article 645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2.3  MONITORING AND COMMUNICATIONS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 panel: graphical touchscreen LCD/LED display of all operating parameters and alarms.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 Management Card (NMC): SNMP v2/v3, Modbus TCP, and BACnet/IP gateway for BMS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Dry contact interface: minimum 8 programmable form-C relay outputs for critical alarms.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Battery Monitoring System (BMS): per-string voltage, temperature, and internal impedance/conductance trending with predictive end-of-life alarming.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Remote Emergency Power Off (REPO): hardwired, normally-closed loop, coordinated with fire alarm system per NFPA 70/NEC 645.10.</w:t>
      </w:r>
    </w:p>
    <w:p>
      <w:pPr>
        <w:pStyle w:val="Heading2"/>
        <w:spacing w:after="120" w:before="240"/>
      </w:pPr>
      <w:r>
        <w:rPr>
          <w:b/>
          <w:bCs/>
        </w:rPr>
        <w:t xml:space="preserve">2.4  MAINTENANCE BYPASS</w:t>
      </w:r>
    </w:p>
    <w:p>
      <w:pPr>
        <w:spacing w:after="120"/>
      </w:pPr>
      <w:r>
        <w:t xml:space="preserve">A. Provide an integral, key-interlocked make-before-break maintenance bypass cabinet permitting complete isolation and de-energization of the UPS module(s) for service without interrupting power to the critical load.</w:t>
      </w:r>
    </w:p>
    <w:p>
      <w:pPr>
        <w:spacing w:after="120"/>
      </w:pPr>
      <w:r>
        <w:t xml:space="preserve">B. Bypass switch shall be rated for continuous duty at 125% of the UPS module's rated output current.</w:t>
      </w:r>
    </w:p>
    <w:p>
      <w:pPr>
        <w:pStyle w:val="Heading1"/>
        <w:spacing w:after="160" w:before="320"/>
      </w:pPr>
      <w:r>
        <w:rPr>
          <w:b/>
          <w:bCs/>
        </w:rPr>
        <w:t xml:space="preserve">PART 3 — EXECUTION</w:t>
      </w:r>
    </w:p>
    <w:p>
      <w:pPr>
        <w:pStyle w:val="Heading2"/>
        <w:spacing w:after="120" w:before="240"/>
      </w:pPr>
      <w:r>
        <w:rPr>
          <w:b/>
          <w:bCs/>
        </w:rPr>
        <w:t xml:space="preserve">3.1  INSTALLATION</w:t>
      </w:r>
    </w:p>
    <w:p>
      <w:pPr>
        <w:spacing w:after="120"/>
      </w:pPr>
      <w:r>
        <w:t xml:space="preserve">A. Install UPS and battery cabinets level, plumb, and anchored per manufacturer's seismic bracing details for the project's assigned Seismic Design Category.</w:t>
      </w:r>
    </w:p>
    <w:p>
      <w:pPr>
        <w:spacing w:after="120"/>
      </w:pPr>
      <w:r>
        <w:t xml:space="preserve">B. Maintain manufacturer's minimum clearances for front, rear, and side service access; coordinate with data hall hot/cold aisle containment layout.</w:t>
      </w:r>
    </w:p>
    <w:p>
      <w:pPr>
        <w:spacing w:after="120"/>
      </w:pPr>
      <w:r>
        <w:t xml:space="preserve">C. Provide dedicated equipment grounding conductor sized per NEC Table 250.122, bonded to the building's signal reference grid.</w:t>
      </w:r>
    </w:p>
    <w:p>
      <w:pPr>
        <w:pStyle w:val="Heading2"/>
        <w:spacing w:after="120" w:before="240"/>
      </w:pPr>
      <w:r>
        <w:rPr>
          <w:b/>
          <w:bCs/>
        </w:rPr>
        <w:t xml:space="preserve">3.2  FIELD QUALITY CONTROL</w:t>
      </w:r>
    </w:p>
    <w:p>
      <w:pPr>
        <w:spacing w:after="120"/>
      </w:pPr>
      <w:r>
        <w:t xml:space="preserve">A. Startup: Performed by manufacturer's factory-authorized technician. Submit startup report prior to scheduling integrated systems testing (IST).</w:t>
      </w:r>
    </w:p>
    <w:p>
      <w:pPr>
        <w:spacing w:after="120"/>
      </w:pPr>
      <w:r>
        <w:t xml:space="preserve">B. Testing: Full-load bank test (resistive load bank) to verify rated capacity, efficiency, and battery autonomy match the values submitted under Article 1.3.C, witnessed by Owner's Representative and Commissioning Agent.</w:t>
      </w:r>
    </w:p>
    <w:p>
      <w:pPr>
        <w:spacing w:after="120"/>
      </w:pPr>
      <w:r>
        <w:t xml:space="preserve">C. Integrated Systems Test (IST): UPS shall be exercised through simulated utility loss, battery discharge, generator start/transfer, and bypass transfer scenarios per the project's Level 5 commissioning plan.</w:t>
      </w:r>
    </w:p>
    <w:p>
      <w:pPr>
        <w:pStyle w:val="Heading2"/>
        <w:spacing w:after="120" w:before="240"/>
      </w:pPr>
      <w:r>
        <w:rPr>
          <w:b/>
          <w:bCs/>
        </w:rPr>
        <w:t xml:space="preserve">3.3  TRAINING</w:t>
      </w:r>
    </w:p>
    <w:p>
      <w:pPr>
        <w:spacing w:after="120"/>
      </w:pPr>
      <w:r>
        <w:t xml:space="preserve">A. Provide minimum 8 hours of on-site operations and maintenance training for Owner's facilities staff, including battery maintenance and emergency bypass procedures.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i/>
          <w:iCs/>
        </w:rPr>
        <w:t xml:space="preserve">— END OF SECTION 26 33 53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Meridian Data Centers — Project No. MDC-2026-0417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595959"/>
        <w:sz w:val="16"/>
        <w:szCs w:val="16"/>
      </w:rPr>
      <w:t xml:space="preserve">SECTION 26 33 53 — STATIC UNINTERRUPTIBLE POWER SUPPLY (UPS)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2026-07-04T17:53:19.649Z</dcterms:created>
  <dcterms:modified xsi:type="dcterms:W3CDTF">2026-07-04T17:53:19.650Z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