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808080"/>
          <w:sz w:val="20"/>
          <w:szCs w:val="20"/>
        </w:rPr>
        <w:t xml:space="preserve">SUBMITTAL REVIEW RECORD</w:t>
      </w:r>
    </w:p>
    <w:p>
      <w:pPr>
        <w:spacing w:after="200"/>
        <w:jc w:val="center"/>
      </w:pPr>
      <w:r>
        <w:rPr>
          <w:b/>
          <w:bCs/>
          <w:sz w:val="28"/>
          <w:szCs w:val="28"/>
        </w:rPr>
        <w:t xml:space="preserve">UNINTERRUPTIBLE POWER SUPPLY (UPS) SYSTEM</w:t>
      </w:r>
    </w:p>
    <w:p>
      <w:pPr>
        <w:spacing w:after="40"/>
        <w:jc w:val="center"/>
      </w:pPr>
      <w:r>
        <w:rPr>
          <w:i/>
          <w:iCs/>
          <w:sz w:val="22"/>
          <w:szCs w:val="22"/>
        </w:rPr>
        <w:t xml:space="preserve">Engineer's Review of Submittal 26 33 53-01</w:t>
      </w:r>
    </w:p>
    <w:p>
      <w:pPr>
        <w:spacing w:after="300"/>
        <w:jc w:val="center"/>
      </w:pPr>
      <w:r>
        <w:rPr>
          <w:color w:val="595959"/>
          <w:sz w:val="20"/>
          <w:szCs w:val="20"/>
        </w:rPr>
        <w:t xml:space="preserve">Ironwood Point Data Center — Building A, Phase 1  |  Project No. MDC-2026-0417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280"/>
      </w:tblGrid>
      <w:tr>
        <w:tc>
          <w:tcPr>
            <w:tcW w:type="dxa" w:w="3200"/>
            <w:shd w:fill="D9D9D9" w:val="clear"/>
          </w:tcPr>
          <w:p>
            <w:r>
              <w:rPr>
                <w:b/>
                <w:bCs/>
                <w:sz w:val="20"/>
                <w:szCs w:val="20"/>
              </w:rPr>
              <w:t xml:space="preserve">Submittal No. Reviewed</w:t>
            </w:r>
          </w:p>
        </w:tc>
        <w:tc>
          <w:tcPr>
            <w:tcW w:type="dxa" w:w="6280"/>
          </w:tcPr>
          <w:p>
            <w:r>
              <w:rPr>
                <w:b w:val="false"/>
                <w:bCs w:val="false"/>
                <w:sz w:val="20"/>
                <w:szCs w:val="20"/>
              </w:rPr>
              <w:t xml:space="preserve">26 33 53-01, Rev. 0</w:t>
            </w:r>
          </w:p>
        </w:tc>
      </w:tr>
      <w:tr>
        <w:tc>
          <w:tcPr>
            <w:tcW w:type="dxa" w:w="3200"/>
            <w:shd w:fill="D9D9D9" w:val="clear"/>
          </w:tcPr>
          <w:p>
            <w:r>
              <w:rPr>
                <w:b/>
                <w:bCs/>
                <w:sz w:val="20"/>
                <w:szCs w:val="20"/>
              </w:rPr>
              <w:t xml:space="preserve">Spec Section</w:t>
            </w:r>
          </w:p>
        </w:tc>
        <w:tc>
          <w:tcPr>
            <w:tcW w:type="dxa" w:w="6280"/>
          </w:tcPr>
          <w:p>
            <w:r>
              <w:rPr>
                <w:b w:val="false"/>
                <w:bCs w:val="false"/>
                <w:sz w:val="20"/>
                <w:szCs w:val="20"/>
              </w:rPr>
              <w:t xml:space="preserve">26 33 53 — Static Uninterruptible Power Supply (UPS) System</w:t>
            </w:r>
          </w:p>
        </w:tc>
      </w:tr>
      <w:tr>
        <w:tc>
          <w:tcPr>
            <w:tcW w:type="dxa" w:w="3200"/>
            <w:shd w:fill="D9D9D9" w:val="clear"/>
          </w:tcPr>
          <w:p>
            <w:r>
              <w:rPr>
                <w:b/>
                <w:bCs/>
                <w:sz w:val="20"/>
                <w:szCs w:val="20"/>
              </w:rPr>
              <w:t xml:space="preserve">Contractor / Submitter</w:t>
            </w:r>
          </w:p>
        </w:tc>
        <w:tc>
          <w:tcPr>
            <w:tcW w:type="dxa" w:w="6280"/>
          </w:tcPr>
          <w:p>
            <w:r>
              <w:rPr>
                <w:b w:val="false"/>
                <w:bCs w:val="false"/>
                <w:sz w:val="20"/>
                <w:szCs w:val="20"/>
              </w:rPr>
              <w:t xml:space="preserve">Apex Critical Power Solutions, Inc.</w:t>
            </w:r>
          </w:p>
        </w:tc>
      </w:tr>
      <w:tr>
        <w:tc>
          <w:tcPr>
            <w:tcW w:type="dxa" w:w="3200"/>
            <w:shd w:fill="D9D9D9" w:val="clear"/>
          </w:tcPr>
          <w:p>
            <w:r>
              <w:rPr>
                <w:b/>
                <w:bCs/>
                <w:sz w:val="20"/>
                <w:szCs w:val="20"/>
              </w:rPr>
              <w:t xml:space="preserve">Proposed Equipment</w:t>
            </w:r>
          </w:p>
        </w:tc>
        <w:tc>
          <w:tcPr>
            <w:tcW w:type="dxa" w:w="6280"/>
          </w:tcPr>
          <w:p>
            <w:r>
              <w:rPr>
                <w:b w:val="false"/>
                <w:bCs w:val="false"/>
                <w:sz w:val="20"/>
                <w:szCs w:val="20"/>
              </w:rPr>
              <w:t xml:space="preserve">Eaton 93PM UPS, 500 kVA, with EnergyAware batteries</w:t>
            </w:r>
          </w:p>
        </w:tc>
      </w:tr>
      <w:tr>
        <w:tc>
          <w:tcPr>
            <w:tcW w:type="dxa" w:w="3200"/>
            <w:shd w:fill="D9D9D9" w:val="clear"/>
          </w:tcPr>
          <w:p>
            <w:r>
              <w:rPr>
                <w:b/>
                <w:bCs/>
                <w:sz w:val="20"/>
                <w:szCs w:val="20"/>
              </w:rPr>
              <w:t xml:space="preserve">Reviewed By</w:t>
            </w:r>
          </w:p>
        </w:tc>
        <w:tc>
          <w:tcPr>
            <w:tcW w:type="dxa" w:w="6280"/>
          </w:tcPr>
          <w:p>
            <w:r>
              <w:rPr>
                <w:b w:val="false"/>
                <w:bCs w:val="false"/>
                <w:sz w:val="20"/>
                <w:szCs w:val="20"/>
              </w:rPr>
              <w:t xml:space="preserve">Halvorsen &amp; Pratt Engineering, PLLC — D. Okafor, PE (Electrical Engineer of Record)</w:t>
            </w:r>
          </w:p>
        </w:tc>
      </w:tr>
      <w:tr>
        <w:tc>
          <w:tcPr>
            <w:tcW w:type="dxa" w:w="3200"/>
            <w:shd w:fill="D9D9D9" w:val="clear"/>
          </w:tcPr>
          <w:p>
            <w:r>
              <w:rPr>
                <w:b/>
                <w:bCs/>
                <w:sz w:val="20"/>
                <w:szCs w:val="20"/>
              </w:rPr>
              <w:t xml:space="preserve">Date Received</w:t>
            </w:r>
          </w:p>
        </w:tc>
        <w:tc>
          <w:tcPr>
            <w:tcW w:type="dxa" w:w="6280"/>
          </w:tcPr>
          <w:p>
            <w:r>
              <w:rPr>
                <w:b w:val="false"/>
                <w:bCs w:val="false"/>
                <w:sz w:val="20"/>
                <w:szCs w:val="20"/>
              </w:rPr>
              <w:t xml:space="preserve">June 25, 2026</w:t>
            </w:r>
          </w:p>
        </w:tc>
      </w:tr>
      <w:tr>
        <w:tc>
          <w:tcPr>
            <w:tcW w:type="dxa" w:w="3200"/>
            <w:shd w:fill="D9D9D9" w:val="clear"/>
          </w:tcPr>
          <w:p>
            <w:r>
              <w:rPr>
                <w:b/>
                <w:bCs/>
                <w:sz w:val="20"/>
                <w:szCs w:val="20"/>
              </w:rPr>
              <w:t xml:space="preserve">Date Reviewed</w:t>
            </w:r>
          </w:p>
        </w:tc>
        <w:tc>
          <w:tcPr>
            <w:tcW w:type="dxa" w:w="6280"/>
          </w:tcPr>
          <w:p>
            <w:r>
              <w:rPr>
                <w:b w:val="false"/>
                <w:bCs w:val="false"/>
                <w:sz w:val="20"/>
                <w:szCs w:val="20"/>
              </w:rPr>
              <w:t xml:space="preserve">July 9, 2026</w:t>
            </w:r>
          </w:p>
        </w:tc>
      </w:tr>
      <w:tr>
        <w:tc>
          <w:tcPr>
            <w:tcW w:type="dxa" w:w="3200"/>
            <w:shd w:fill="D9D9D9" w:val="clear"/>
          </w:tcPr>
          <w:p>
            <w:r>
              <w:rPr>
                <w:b/>
                <w:bCs/>
                <w:sz w:val="20"/>
                <w:szCs w:val="20"/>
              </w:rPr>
              <w:t xml:space="preserve">Related RFIs</w:t>
            </w:r>
          </w:p>
        </w:tc>
        <w:tc>
          <w:tcPr>
            <w:tcW w:type="dxa" w:w="6280"/>
          </w:tcPr>
          <w:p>
            <w:r>
              <w:rPr>
                <w:b w:val="false"/>
                <w:bCs w:val="false"/>
                <w:sz w:val="20"/>
                <w:szCs w:val="20"/>
              </w:rPr>
              <w:t xml:space="preserve">RFI-016 (Battery Autonomy), RFI-017 (Efficiency)</w:t>
            </w:r>
          </w:p>
        </w:tc>
      </w:tr>
    </w:tbl>
    <w:p>
      <w:pPr>
        <w:pStyle w:val="Heading1"/>
        <w:spacing w:after="160" w:before="320"/>
      </w:pPr>
      <w:r>
        <w:rPr>
          <w:b/>
          <w:bCs/>
        </w:rPr>
        <w:t xml:space="preserve">DISPOSITION</w:t>
      </w:r>
    </w:p>
    <w:p>
      <w:pPr>
        <w:spacing w:after="60"/>
      </w:pPr>
      <w:r>
        <w:rPr>
          <w:sz w:val="24"/>
          <w:szCs w:val="24"/>
        </w:rPr>
        <w:t xml:space="preserve">☐  </w:t>
      </w:r>
      <w:r>
        <w:t xml:space="preserve">No Exceptions Taken</w:t>
      </w:r>
    </w:p>
    <w:p>
      <w:pPr>
        <w:spacing w:after="60"/>
      </w:pPr>
      <w:r>
        <w:rPr>
          <w:sz w:val="24"/>
          <w:szCs w:val="24"/>
        </w:rPr>
        <w:t xml:space="preserve">☐  </w:t>
      </w:r>
      <w:r>
        <w:t xml:space="preserve">Make Corrections Noted — Resubmission Not Required</w:t>
      </w:r>
    </w:p>
    <w:p>
      <w:pPr>
        <w:spacing w:after="60"/>
      </w:pPr>
      <w:r>
        <w:rPr>
          <w:sz w:val="24"/>
          <w:szCs w:val="24"/>
        </w:rPr>
        <w:t xml:space="preserve">☒  </w:t>
      </w:r>
      <w:r>
        <w:t xml:space="preserve">Amend and Resubmit — Resubmission Required</w:t>
      </w:r>
    </w:p>
    <w:p>
      <w:pPr>
        <w:spacing w:after="60"/>
      </w:pPr>
      <w:r>
        <w:rPr>
          <w:sz w:val="24"/>
          <w:szCs w:val="24"/>
        </w:rPr>
        <w:t xml:space="preserve">☐  </w:t>
      </w:r>
      <w:r>
        <w:t xml:space="preserve">Rejected — Does Not Comply, Resubmit</w:t>
      </w:r>
    </w:p>
    <w:p>
      <w:pPr>
        <w:spacing w:after="120"/>
      </w:pPr>
      <w:r>
        <w:t xml:space="preserve"/>
      </w:r>
    </w:p>
    <w:p>
      <w:pPr>
        <w:spacing w:after="120"/>
      </w:pPr>
      <w:r>
        <w:rPr>
          <w:b/>
          <w:bCs/>
        </w:rPr>
        <w:t xml:space="preserve">Overall Assessment: The proposed Eaton 93PM is an acceptable named manufacturer per Spec Section 26 33 53, Art. 2.1.A, and the majority of submitted ratings comply with the specification. However, two performance parameters submitted do not meet the minimum requirements of Section 26 33 53 and must be corrected or formally justified prior to release for fabrication. See Items 1 and 2 below.</w:t>
      </w:r>
    </w:p>
    <w:p>
      <w:pPr>
        <w:pBdr>
          <w:bottom w:val="single" w:color="BFBFBF" w:sz="4" w:space="4"/>
        </w:pBdr>
        <w:spacing w:after="80" w:before="200"/>
      </w:pPr>
      <w:r>
        <w:rPr>
          <w:b/>
          <w:bCs/>
          <w:sz w:val="22"/>
          <w:szCs w:val="22"/>
        </w:rPr>
        <w:t xml:space="preserve">Item 1 — Battery Autonomy Below Specified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280"/>
      </w:tblGrid>
      <w:tr>
        <w:tc>
          <w:tcPr>
            <w:tcW w:type="dxa" w:w="3200"/>
            <w:shd w:fill="D9D9D9" w:val="clear"/>
          </w:tcPr>
          <w:p>
            <w:r>
              <w:rPr>
                <w:b/>
                <w:bCs/>
                <w:sz w:val="20"/>
                <w:szCs w:val="20"/>
              </w:rPr>
              <w:t xml:space="preserve">Spec Reference</w:t>
            </w:r>
          </w:p>
        </w:tc>
        <w:tc>
          <w:tcPr>
            <w:tcW w:type="dxa" w:w="6280"/>
          </w:tcPr>
          <w:p>
            <w:r>
              <w:rPr>
                <w:b w:val="false"/>
                <w:bCs w:val="false"/>
                <w:sz w:val="20"/>
                <w:szCs w:val="20"/>
              </w:rPr>
              <w:t xml:space="preserve">Art. 2.2, "Battery Backup / Autonomy"</w:t>
            </w:r>
          </w:p>
        </w:tc>
      </w:tr>
      <w:tr>
        <w:tc>
          <w:tcPr>
            <w:tcW w:type="dxa" w:w="3200"/>
            <w:shd w:fill="D9D9D9" w:val="clear"/>
          </w:tcPr>
          <w:p>
            <w:r>
              <w:rPr>
                <w:b/>
                <w:bCs/>
                <w:sz w:val="20"/>
                <w:szCs w:val="20"/>
              </w:rPr>
              <w:t xml:space="preserve">Submittal Value</w:t>
            </w:r>
          </w:p>
        </w:tc>
        <w:tc>
          <w:tcPr>
            <w:tcW w:type="dxa" w:w="6280"/>
          </w:tcPr>
          <w:p>
            <w:r>
              <w:rPr>
                <w:b w:val="false"/>
                <w:bCs w:val="false"/>
                <w:sz w:val="20"/>
                <w:szCs w:val="20"/>
              </w:rPr>
              <w:t xml:space="preserve">10 minutes at full rated load (500 kW), per Appendix C battery calculation</w:t>
            </w:r>
          </w:p>
        </w:tc>
      </w:tr>
      <w:tr>
        <w:tc>
          <w:tcPr>
            <w:tcW w:type="dxa" w:w="3200"/>
            <w:shd w:fill="D9D9D9" w:val="clear"/>
          </w:tcPr>
          <w:p>
            <w:r>
              <w:rPr>
                <w:b/>
                <w:bCs/>
                <w:sz w:val="20"/>
                <w:szCs w:val="20"/>
              </w:rPr>
              <w:t xml:space="preserve">Spec Requirement</w:t>
            </w:r>
          </w:p>
        </w:tc>
        <w:tc>
          <w:tcPr>
            <w:tcW w:type="dxa" w:w="6280"/>
          </w:tcPr>
          <w:p>
            <w:r>
              <w:rPr>
                <w:b w:val="false"/>
                <w:bCs w:val="false"/>
                <w:sz w:val="20"/>
                <w:szCs w:val="20"/>
              </w:rPr>
              <w:t xml:space="preserve">15 minutes minimum at full rated load (500 kW)</w:t>
            </w:r>
          </w:p>
        </w:tc>
      </w:tr>
    </w:tbl>
    <w:p>
      <w:pPr>
        <w:spacing w:after="40" w:before="100"/>
      </w:pPr>
      <w:r>
        <w:rPr>
          <w:b/>
          <w:bCs/>
        </w:rPr>
        <w:t xml:space="preserve">Engineer's Comment:</w:t>
      </w:r>
    </w:p>
    <w:p>
      <w:pPr>
        <w:spacing w:after="120"/>
      </w:pPr>
      <w:r>
        <w:t xml:space="preserve">The submitted battery string (40 x 12V/100Ah VRLA blocks per module) is sized for 10 minutes of autonomy, which is 5 minutes short of the specified minimum. This reduces the ride-through window available to start and transfer to standby generation and does not meet the Basis of Design's Tier III concurrent-maintainability intent. This item is also tracked under RFI-016.</w:t>
      </w:r>
    </w:p>
    <w:p>
      <w:pPr>
        <w:spacing w:after="0" w:before="40"/>
      </w:pPr>
      <w:r>
        <w:rPr>
          <w:b/>
          <w:bCs/>
        </w:rPr>
        <w:t xml:space="preserve">Required Action: </w:t>
      </w:r>
      <w:r>
        <w:t xml:space="preserve">Contractor shall revise the battery string configuration (additional blocks, higher Ah rating, or larger cabinet footprint) to demonstrate a minimum of 15 minutes autonomy at full rated load, and resubmit a corrected battery sizing calculation per IEEE 485. Alternatively, Contractor may submit a written deviation request with supporting risk analysis for Owner and EOR consideration; however, EOR does not anticipate recommending acceptance of reduced autonomy for this application.</w:t>
      </w:r>
    </w:p>
    <w:p>
      <w:pPr>
        <w:pBdr>
          <w:bottom w:val="single" w:color="BFBFBF" w:sz="4" w:space="4"/>
        </w:pBdr>
        <w:spacing w:after="80" w:before="200"/>
      </w:pPr>
      <w:r>
        <w:rPr>
          <w:b/>
          <w:bCs/>
          <w:sz w:val="22"/>
          <w:szCs w:val="22"/>
        </w:rPr>
        <w:t xml:space="preserve">Item 2 — Efficiency Below Specified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280"/>
      </w:tblGrid>
      <w:tr>
        <w:tc>
          <w:tcPr>
            <w:tcW w:type="dxa" w:w="3200"/>
            <w:shd w:fill="D9D9D9" w:val="clear"/>
          </w:tcPr>
          <w:p>
            <w:r>
              <w:rPr>
                <w:b/>
                <w:bCs/>
                <w:sz w:val="20"/>
                <w:szCs w:val="20"/>
              </w:rPr>
              <w:t xml:space="preserve">Spec Reference</w:t>
            </w:r>
          </w:p>
        </w:tc>
        <w:tc>
          <w:tcPr>
            <w:tcW w:type="dxa" w:w="6280"/>
          </w:tcPr>
          <w:p>
            <w:r>
              <w:rPr>
                <w:b w:val="false"/>
                <w:bCs w:val="false"/>
                <w:sz w:val="20"/>
                <w:szCs w:val="20"/>
              </w:rPr>
              <w:t xml:space="preserve">Art. 2.2, "Overall AC-AC Efficiency (Double Conversion Mode)"</w:t>
            </w:r>
          </w:p>
        </w:tc>
      </w:tr>
      <w:tr>
        <w:tc>
          <w:tcPr>
            <w:tcW w:type="dxa" w:w="3200"/>
            <w:shd w:fill="D9D9D9" w:val="clear"/>
          </w:tcPr>
          <w:p>
            <w:r>
              <w:rPr>
                <w:b/>
                <w:bCs/>
                <w:sz w:val="20"/>
                <w:szCs w:val="20"/>
              </w:rPr>
              <w:t xml:space="preserve">Submittal Value</w:t>
            </w:r>
          </w:p>
        </w:tc>
        <w:tc>
          <w:tcPr>
            <w:tcW w:type="dxa" w:w="6280"/>
          </w:tcPr>
          <w:p>
            <w:r>
              <w:rPr>
                <w:b w:val="false"/>
                <w:bCs w:val="false"/>
                <w:sz w:val="20"/>
                <w:szCs w:val="20"/>
              </w:rPr>
              <w:t xml:space="preserve">96.2% at 40-100% load, per Appendix B factory efficiency curve</w:t>
            </w:r>
          </w:p>
        </w:tc>
      </w:tr>
      <w:tr>
        <w:tc>
          <w:tcPr>
            <w:tcW w:type="dxa" w:w="3200"/>
            <w:shd w:fill="D9D9D9" w:val="clear"/>
          </w:tcPr>
          <w:p>
            <w:r>
              <w:rPr>
                <w:b/>
                <w:bCs/>
                <w:sz w:val="20"/>
                <w:szCs w:val="20"/>
              </w:rPr>
              <w:t xml:space="preserve">Spec Requirement</w:t>
            </w:r>
          </w:p>
        </w:tc>
        <w:tc>
          <w:tcPr>
            <w:tcW w:type="dxa" w:w="6280"/>
          </w:tcPr>
          <w:p>
            <w:r>
              <w:rPr>
                <w:b w:val="false"/>
                <w:bCs w:val="false"/>
                <w:sz w:val="20"/>
                <w:szCs w:val="20"/>
              </w:rPr>
              <w:t xml:space="preserve">≥ 97.0% at 40-100% load</w:t>
            </w:r>
          </w:p>
        </w:tc>
      </w:tr>
    </w:tbl>
    <w:p>
      <w:pPr>
        <w:spacing w:after="40" w:before="100"/>
      </w:pPr>
      <w:r>
        <w:rPr>
          <w:b/>
          <w:bCs/>
        </w:rPr>
        <w:t xml:space="preserve">Engineer's Comment:</w:t>
      </w:r>
    </w:p>
    <w:p>
      <w:pPr>
        <w:spacing w:after="120"/>
      </w:pPr>
      <w:r>
        <w:t xml:space="preserve">The submitted efficiency figure is 0.8 percentage points below the specified minimum in double-conversion (VFI) mode. At the project's estimated coincident IT load, this delta corresponds to a material increase in UPS heat rejection into the electrical room and a corresponding increase in mechanical cooling load that was not reflected in the submittal. This item is also tracked under RFI-017.</w:t>
      </w:r>
    </w:p>
    <w:p>
      <w:pPr>
        <w:spacing w:after="0" w:before="40"/>
      </w:pPr>
      <w:r>
        <w:rPr>
          <w:b/>
          <w:bCs/>
        </w:rPr>
        <w:t xml:space="preserve">Required Action: </w:t>
      </w:r>
      <w:r>
        <w:t xml:space="preserve">Contractor shall confirm whether a higher-efficiency configuration of the Eaton 93PM (e.g., alternate module rating or firmware/hardware option) can meet the 97.0% minimum, and resubmit updated factory efficiency data. If the 96.2% figure is the best available performance for the proposed configuration, Contractor shall coordinate with the Mechanical Engineer to confirm the UPS room cooling design accommodates the additional heat rejection before EOR will consider a deviation.</w:t>
      </w:r>
    </w:p>
    <w:p>
      <w:pPr>
        <w:pBdr>
          <w:bottom w:val="single" w:color="BFBFBF" w:sz="4" w:space="4"/>
        </w:pBdr>
        <w:spacing w:after="80" w:before="260"/>
      </w:pPr>
      <w:r>
        <w:rPr>
          <w:b/>
          <w:bCs/>
          <w:sz w:val="22"/>
          <w:szCs w:val="22"/>
        </w:rPr>
        <w:t xml:space="preserve">Item 3 — Remaining Ratings and Features</w:t>
      </w:r>
    </w:p>
    <w:p>
      <w:pPr>
        <w:spacing w:after="120"/>
      </w:pPr>
      <w:r>
        <w:t xml:space="preserve">All other submitted parameters (topology, voltage/phase, redundancy configuration, THD, overload capacity, monitoring/communications, maintenance bypass, and enclosure rating) comply with Spec Section 26 33 53 as submitted. No further comment.</w:t>
      </w:r>
    </w:p>
    <w:p>
      <w:pPr>
        <w:pStyle w:val="Heading1"/>
        <w:spacing w:after="160" w:before="320"/>
      </w:pPr>
      <w:r>
        <w:rPr>
          <w:b/>
          <w:bCs/>
        </w:rPr>
        <w:t xml:space="preserve">RESUBMISSION REQUIREMENTS</w:t>
      </w:r>
    </w:p>
    <w:p>
      <w:pPr>
        <w:pStyle w:val="ListParagraph"/>
        <w:numPr>
          <w:ilvl w:val="0"/>
          <w:numId w:val="1"/>
        </w:numPr>
        <w:spacing w:after="60"/>
      </w:pPr>
      <w:r>
        <w:t xml:space="preserve">Revised battery sizing calculation demonstrating ≥15-minute autonomy at full rated load (500 kW), per IEEE 485, or a formal deviation request per Article 1.3.</w:t>
      </w:r>
    </w:p>
    <w:p>
      <w:pPr>
        <w:pStyle w:val="ListParagraph"/>
        <w:numPr>
          <w:ilvl w:val="0"/>
          <w:numId w:val="1"/>
        </w:numPr>
        <w:spacing w:after="60"/>
      </w:pPr>
      <w:r>
        <w:t xml:space="preserve">Revised or supplemental factory efficiency data demonstrating ≥97.0% efficiency, or written coordination confirmation from the Mechanical Engineer accepting the 96.2% figure's cooling impact.</w:t>
      </w:r>
    </w:p>
    <w:p>
      <w:pPr>
        <w:pStyle w:val="ListParagraph"/>
        <w:numPr>
          <w:ilvl w:val="0"/>
          <w:numId w:val="1"/>
        </w:numPr>
        <w:spacing w:after="60"/>
      </w:pPr>
      <w:r>
        <w:t xml:space="preserve">Updated dimensional drawings if battery cabinet footprint changes as a result of Item 1.</w:t>
      </w:r>
    </w:p>
    <w:p>
      <w:pPr>
        <w:spacing w:after="120"/>
      </w:pPr>
      <w:r>
        <w:t xml:space="preserve">Resubmission is due within 10 business days of this review to avoid impact to the Purchase Order Release milestone (currently scheduled July 25, 2026) shown on the UPS Procurement Schedule.</w:t>
      </w:r>
    </w:p>
    <w:p>
      <w:pPr>
        <w:spacing w:after="120"/>
      </w:pPr>
      <w:r>
        <w:t xml:space="preserve"/>
      </w:r>
    </w:p>
    <w:p>
      <w:pPr>
        <w:spacing w:after="120"/>
      </w:pPr>
      <w:r>
        <w:rPr>
          <w:b/>
          <w:bCs/>
        </w:rPr>
        <w:t xml:space="preserve">Halvorsen &amp; Pratt Engineering, PLLC</w:t>
      </w:r>
    </w:p>
    <w:p>
      <w:pPr>
        <w:spacing w:after="120"/>
      </w:pPr>
      <w:r>
        <w:t xml:space="preserve">D. Okafor, PE — Electrical Engineer of Record</w:t>
      </w:r>
    </w:p>
    <w:p>
      <w:pPr>
        <w:spacing w:after="120"/>
      </w:pPr>
      <w:r>
        <w:t xml:space="preserve">July 9, 2026</w:t>
      </w:r>
    </w:p>
    <w:p>
      <w:pPr>
        <w:spacing w:after="120"/>
      </w:pPr>
      <w:r>
        <w:t xml:space="preserve"/>
      </w:r>
    </w:p>
    <w:p>
      <w:pPr>
        <w:spacing w:after="120"/>
      </w:pPr>
      <w:r>
        <w:rPr>
          <w:b/>
          <w:bCs/>
          <w:i/>
          <w:iCs/>
        </w:rPr>
        <w:t xml:space="preserve">— END OF SUBMITTAL REVIEW RECORD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Ironwood Point Data Center — MDC-2026-0417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595959"/>
        <w:sz w:val="16"/>
        <w:szCs w:val="16"/>
      </w:rPr>
      <w:t xml:space="preserve">SUBMITTAL REVIEW — 26 33 53-01  |  Halvorsen &amp; Pratt Engineering, PLLC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2026-07-17T07:17:45.759Z</dcterms:created>
  <dcterms:modified xsi:type="dcterms:W3CDTF">2026-07-17T07:17:45.759Z</dcterms:modified>
</cp:coreProperties>
</file>

<file path=docProps/custom.xml><?xml version="1.0" encoding="utf-8"?>
<Properties xmlns="http://schemas.openxmlformats.org/officeDocument/2006/custom-properties" xmlns:vt="http://schemas.openxmlformats.org/officeDocument/2006/docPropsVTypes"/>
</file>