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Typeface and Alignment Compliance Report</w:t>
      </w:r>
    </w:p>
    <w:p>
      <w:pPr>
        <w:jc w:val="center"/>
      </w:pPr>
      <w:r>
        <w:t>Government of India – Digital Presence Guidelines Audit</w:t>
      </w:r>
    </w:p>
    <w:p>
      <w:pPr>
        <w:jc w:val="center"/>
      </w:pPr>
      <w:r>
        <w:t>URL: https://www.meity.gov.in/</w:t>
        <w:br/>
        <w:t>Date: 2026-06-08 10:27:20</w:t>
        <w:br/>
        <w:t>Tool: GIGW Auditor v2.7 (Improved Type Scale)</w:t>
      </w:r>
    </w:p>
    <w:p>
      <w:r>
        <w:br w:type="page"/>
      </w:r>
    </w:p>
    <w:p>
      <w:pPr>
        <w:pStyle w:val="Heading1"/>
      </w:pPr>
      <w:r>
        <w:t>Executive Summary</w:t>
      </w:r>
    </w:p>
    <w:p>
      <w:r>
        <w:rPr>
          <w:b/>
        </w:rPr>
        <w:t xml:space="preserve">Overall Result: </w:t>
      </w:r>
      <w:r>
        <w:rPr>
          <w:b/>
          <w:color w:val="008000"/>
          <w:sz w:val="32"/>
        </w:rPr>
        <w:t>PASS</w:t>
      </w:r>
    </w:p>
    <w:p>
      <w:r>
        <w:t>Audit complete. Total failures: 0.</w:t>
      </w:r>
    </w:p>
    <w:p>
      <w:pPr>
        <w:pStyle w:val="Heading1"/>
      </w:pPr>
      <w:r>
        <w:t>Detailed Test Results</w:t>
      </w:r>
    </w:p>
    <w:p>
      <w:pPr>
        <w:pStyle w:val="Heading2"/>
      </w:pPr>
      <w:r>
        <w:t>SCALE-01: Typographic Hierarchy Scale (Desktop)</w:t>
      </w:r>
    </w:p>
    <w:tbl>
      <w:tblPr>
        <w:tblStyle w:val="TableGrid"/>
        <w:tblW w:type="auto" w:w="0"/>
        <w:tblLook w:firstColumn="1" w:firstRow="1" w:lastColumn="0" w:lastRow="0" w:noHBand="0" w:noVBand="1" w:val="04A0"/>
      </w:tblPr>
      <w:tblGrid>
        <w:gridCol w:w="4320"/>
        <w:gridCol w:w="4320"/>
      </w:tblGrid>
      <w:tr>
        <w:tc>
          <w:tcPr>
            <w:tcW w:type="dxa" w:w="4320"/>
          </w:tcPr>
          <w:p>
            <w:r>
              <w:rPr>
                <w:b/>
              </w:rPr>
              <w:t>Test Case</w:t>
            </w:r>
          </w:p>
        </w:tc>
        <w:tc>
          <w:tcPr>
            <w:tcW w:type="dxa" w:w="4320"/>
          </w:tcPr>
          <w:p>
            <w:r>
              <w:t>SCALE-01</w:t>
            </w:r>
          </w:p>
        </w:tc>
      </w:tr>
      <w:tr>
        <w:tc>
          <w:tcPr>
            <w:tcW w:type="dxa" w:w="4320"/>
          </w:tcPr>
          <w:p>
            <w:r>
              <w:rPr>
                <w:b/>
              </w:rPr>
              <w:t>Description</w:t>
            </w:r>
          </w:p>
        </w:tc>
        <w:tc>
          <w:tcPr>
            <w:tcW w:type="dxa" w:w="4320"/>
          </w:tcPr>
          <w:p>
            <w:r>
              <w:t>Evaluates ALL H1, H2, H3, and P elements. Checks hierarchy (H1&gt;H2&gt;H3&gt;P), inconsistent heading sizes, and paragraphs larger than headings.</w:t>
            </w:r>
          </w:p>
        </w:tc>
      </w:tr>
      <w:tr>
        <w:tc>
          <w:tcPr>
            <w:tcW w:type="dxa" w:w="4320"/>
          </w:tcPr>
          <w:p>
            <w:r>
              <w:rPr>
                <w:b/>
              </w:rPr>
              <w:t>Result</w:t>
            </w:r>
          </w:p>
        </w:tc>
        <w:tc>
          <w:tcPr>
            <w:tcW w:type="dxa" w:w="4320"/>
            <w:shd w:fill="C6EFCE" w:val="clear"/>
          </w:tcPr>
          <w:p>
            <w:r>
              <w:t>PASS</w:t>
            </w:r>
          </w:p>
        </w:tc>
      </w:tr>
      <w:tr>
        <w:tc>
          <w:tcPr>
            <w:tcW w:type="dxa" w:w="4320"/>
          </w:tcPr>
          <w:p>
            <w:r>
              <w:rPr>
                <w:b/>
              </w:rPr>
              <w:t>Reason</w:t>
            </w:r>
          </w:p>
        </w:tc>
        <w:tc>
          <w:tcPr>
            <w:tcW w:type="dxa" w:w="4320"/>
          </w:tcPr>
          <w:p>
            <w:r>
              <w:t>Heading scale hierarchy (H1 &gt; H2 &gt; H3 &gt; P) is maintained consistently across all elements. Evidence — H1: N/Apx | H2: N/Apx | H3: N/Apx | P (median=16px, max=16px)</w:t>
            </w:r>
          </w:p>
        </w:tc>
      </w:tr>
    </w:tbl>
    <w:p>
      <w:r>
        <w:t>Screenshot Evidence:</w:t>
      </w:r>
    </w:p>
    <w:p>
      <w:r>
        <w:drawing>
          <wp:inline xmlns:a="http://schemas.openxmlformats.org/drawingml/2006/main" xmlns:pic="http://schemas.openxmlformats.org/drawingml/2006/picture">
            <wp:extent cx="5029200" cy="2601039"/>
            <wp:docPr id="1" name="Picture 1"/>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601039"/>
                    </a:xfrm>
                    <a:prstGeom prst="rect"/>
                  </pic:spPr>
                </pic:pic>
              </a:graphicData>
            </a:graphic>
          </wp:inline>
        </w:drawing>
      </w:r>
    </w:p>
    <w:p>
      <w:pPr>
        <w:pStyle w:val="Heading2"/>
      </w:pPr>
      <w:r>
        <w:t>SCALE-02: Typographic Hierarchy Scale (Mobile)</w:t>
      </w:r>
    </w:p>
    <w:tbl>
      <w:tblPr>
        <w:tblStyle w:val="TableGrid"/>
        <w:tblW w:type="auto" w:w="0"/>
        <w:tblLook w:firstColumn="1" w:firstRow="1" w:lastColumn="0" w:lastRow="0" w:noHBand="0" w:noVBand="1" w:val="04A0"/>
      </w:tblPr>
      <w:tblGrid>
        <w:gridCol w:w="4320"/>
        <w:gridCol w:w="4320"/>
      </w:tblGrid>
      <w:tr>
        <w:tc>
          <w:tcPr>
            <w:tcW w:type="dxa" w:w="4320"/>
          </w:tcPr>
          <w:p>
            <w:r>
              <w:rPr>
                <w:b/>
              </w:rPr>
              <w:t>Test Case</w:t>
            </w:r>
          </w:p>
        </w:tc>
        <w:tc>
          <w:tcPr>
            <w:tcW w:type="dxa" w:w="4320"/>
          </w:tcPr>
          <w:p>
            <w:r>
              <w:t>SCALE-02</w:t>
            </w:r>
          </w:p>
        </w:tc>
      </w:tr>
      <w:tr>
        <w:tc>
          <w:tcPr>
            <w:tcW w:type="dxa" w:w="4320"/>
          </w:tcPr>
          <w:p>
            <w:r>
              <w:rPr>
                <w:b/>
              </w:rPr>
              <w:t>Description</w:t>
            </w:r>
          </w:p>
        </w:tc>
        <w:tc>
          <w:tcPr>
            <w:tcW w:type="dxa" w:w="4320"/>
          </w:tcPr>
          <w:p>
            <w:r>
              <w:t>Evaluates ALL H1, H2, H3, and P elements at mobile viewport. Checks hierarchy, inconsistent sizes, and paragraphs larger than headings.</w:t>
            </w:r>
          </w:p>
        </w:tc>
      </w:tr>
      <w:tr>
        <w:tc>
          <w:tcPr>
            <w:tcW w:type="dxa" w:w="4320"/>
          </w:tcPr>
          <w:p>
            <w:r>
              <w:rPr>
                <w:b/>
              </w:rPr>
              <w:t>Result</w:t>
            </w:r>
          </w:p>
        </w:tc>
        <w:tc>
          <w:tcPr>
            <w:tcW w:type="dxa" w:w="4320"/>
            <w:shd w:fill="C6EFCE" w:val="clear"/>
          </w:tcPr>
          <w:p>
            <w:r>
              <w:t>PASS</w:t>
            </w:r>
          </w:p>
        </w:tc>
      </w:tr>
      <w:tr>
        <w:tc>
          <w:tcPr>
            <w:tcW w:type="dxa" w:w="4320"/>
          </w:tcPr>
          <w:p>
            <w:r>
              <w:rPr>
                <w:b/>
              </w:rPr>
              <w:t>Reason</w:t>
            </w:r>
          </w:p>
        </w:tc>
        <w:tc>
          <w:tcPr>
            <w:tcW w:type="dxa" w:w="4320"/>
          </w:tcPr>
          <w:p>
            <w:r>
              <w:t>Heading scale hierarchy (H1 &gt; H2 &gt; H3 &gt; P) is maintained consistently across all elements. Evidence — H1: N/Apx | H2: N/Apx | H3: N/Apx | P (median=14px, max=14px)</w:t>
            </w:r>
          </w:p>
        </w:tc>
      </w:tr>
    </w:tbl>
    <w:p>
      <w:r>
        <w:t>Screenshot Evidence:</w:t>
      </w:r>
    </w:p>
    <w:p>
      <w:r>
        <w:drawing>
          <wp:inline xmlns:a="http://schemas.openxmlformats.org/drawingml/2006/main" xmlns:pic="http://schemas.openxmlformats.org/drawingml/2006/picture">
            <wp:extent cx="5029200" cy="9723120"/>
            <wp:docPr id="2" name="Picture 2"/>
            <wp:cNvGraphicFramePr>
              <a:graphicFrameLocks noChangeAspect="1"/>
            </wp:cNvGraphicFramePr>
            <a:graphic>
              <a:graphicData uri="http://schemas.openxmlformats.org/drawingml/2006/picture">
                <pic:pic>
                  <pic:nvPicPr>
                    <pic:cNvPr id="0" name="mobile_view.png"/>
                    <pic:cNvPicPr/>
                  </pic:nvPicPr>
                  <pic:blipFill>
                    <a:blip r:embed="rId10"/>
                    <a:stretch>
                      <a:fillRect/>
                    </a:stretch>
                  </pic:blipFill>
                  <pic:spPr>
                    <a:xfrm>
                      <a:off x="0" y="0"/>
                      <a:ext cx="5029200" cy="9723120"/>
                    </a:xfrm>
                    <a:prstGeom prst="rect"/>
                  </pic:spPr>
                </pic:pic>
              </a:graphicData>
            </a:graphic>
          </wp:inline>
        </w:drawing>
      </w:r>
    </w:p>
    <w:p>
      <w:pPr>
        <w:pStyle w:val="Heading2"/>
      </w:pPr>
      <w:r>
        <w:t>BTN-01: Button Padding Consistency</w:t>
      </w:r>
    </w:p>
    <w:tbl>
      <w:tblPr>
        <w:tblStyle w:val="TableGrid"/>
        <w:tblW w:type="auto" w:w="0"/>
        <w:tblLook w:firstColumn="1" w:firstRow="1" w:lastColumn="0" w:lastRow="0" w:noHBand="0" w:noVBand="1" w:val="04A0"/>
      </w:tblPr>
      <w:tblGrid>
        <w:gridCol w:w="4320"/>
        <w:gridCol w:w="4320"/>
      </w:tblGrid>
      <w:tr>
        <w:tc>
          <w:tcPr>
            <w:tcW w:type="dxa" w:w="4320"/>
          </w:tcPr>
          <w:p>
            <w:r>
              <w:rPr>
                <w:b/>
              </w:rPr>
              <w:t>Test Case</w:t>
            </w:r>
          </w:p>
        </w:tc>
        <w:tc>
          <w:tcPr>
            <w:tcW w:type="dxa" w:w="4320"/>
          </w:tcPr>
          <w:p>
            <w:r>
              <w:t>BTN-01</w:t>
            </w:r>
          </w:p>
        </w:tc>
      </w:tr>
      <w:tr>
        <w:tc>
          <w:tcPr>
            <w:tcW w:type="dxa" w:w="4320"/>
          </w:tcPr>
          <w:p>
            <w:r>
              <w:rPr>
                <w:b/>
              </w:rPr>
              <w:t>Description</w:t>
            </w:r>
          </w:p>
        </w:tc>
        <w:tc>
          <w:tcPr>
            <w:tcW w:type="dxa" w:w="4320"/>
          </w:tcPr>
          <w:p>
            <w:r>
              <w:t>Verify button sizes are consistent...</w:t>
            </w:r>
          </w:p>
        </w:tc>
      </w:tr>
      <w:tr>
        <w:tc>
          <w:tcPr>
            <w:tcW w:type="dxa" w:w="4320"/>
          </w:tcPr>
          <w:p>
            <w:r>
              <w:rPr>
                <w:b/>
              </w:rPr>
              <w:t>Result</w:t>
            </w:r>
          </w:p>
        </w:tc>
        <w:tc>
          <w:tcPr>
            <w:tcW w:type="dxa" w:w="4320"/>
            <w:shd w:fill="C6EFCE" w:val="clear"/>
          </w:tcPr>
          <w:p>
            <w:r>
              <w:t>PASS</w:t>
            </w:r>
          </w:p>
        </w:tc>
      </w:tr>
      <w:tr>
        <w:tc>
          <w:tcPr>
            <w:tcW w:type="dxa" w:w="4320"/>
          </w:tcPr>
          <w:p>
            <w:r>
              <w:rPr>
                <w:b/>
              </w:rPr>
              <w:t>Reason</w:t>
            </w:r>
          </w:p>
        </w:tc>
        <w:tc>
          <w:tcPr>
            <w:tcW w:type="dxa" w:w="4320"/>
          </w:tcPr>
          <w:p>
            <w:r>
              <w:t>No buttons found on page.</w:t>
            </w:r>
          </w:p>
        </w:tc>
      </w:tr>
    </w:tbl>
    <w:p>
      <w:r>
        <w:t>Screenshot Evidence:</w:t>
      </w:r>
    </w:p>
    <w:p>
      <w:r>
        <w:drawing>
          <wp:inline xmlns:a="http://schemas.openxmlformats.org/drawingml/2006/main" xmlns:pic="http://schemas.openxmlformats.org/drawingml/2006/picture">
            <wp:extent cx="5029200" cy="2601039"/>
            <wp:docPr id="3" name="Picture 3"/>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601039"/>
                    </a:xfrm>
                    <a:prstGeom prst="rect"/>
                  </pic:spPr>
                </pic:pic>
              </a:graphicData>
            </a:graphic>
          </wp:inline>
        </w:drawing>
      </w:r>
    </w:p>
    <w:p>
      <w:pPr>
        <w:pStyle w:val="Heading2"/>
      </w:pPr>
      <w:r>
        <w:t>BTN-02: Button State Style Differentiation</w:t>
      </w:r>
    </w:p>
    <w:tbl>
      <w:tblPr>
        <w:tblStyle w:val="TableGrid"/>
        <w:tblW w:type="auto" w:w="0"/>
        <w:tblLook w:firstColumn="1" w:firstRow="1" w:lastColumn="0" w:lastRow="0" w:noHBand="0" w:noVBand="1" w:val="04A0"/>
      </w:tblPr>
      <w:tblGrid>
        <w:gridCol w:w="4320"/>
        <w:gridCol w:w="4320"/>
      </w:tblGrid>
      <w:tr>
        <w:tc>
          <w:tcPr>
            <w:tcW w:type="dxa" w:w="4320"/>
          </w:tcPr>
          <w:p>
            <w:r>
              <w:rPr>
                <w:b/>
              </w:rPr>
              <w:t>Test Case</w:t>
            </w:r>
          </w:p>
        </w:tc>
        <w:tc>
          <w:tcPr>
            <w:tcW w:type="dxa" w:w="4320"/>
          </w:tcPr>
          <w:p>
            <w:r>
              <w:t>BTN-02</w:t>
            </w:r>
          </w:p>
        </w:tc>
      </w:tr>
      <w:tr>
        <w:tc>
          <w:tcPr>
            <w:tcW w:type="dxa" w:w="4320"/>
          </w:tcPr>
          <w:p>
            <w:r>
              <w:rPr>
                <w:b/>
              </w:rPr>
              <w:t>Description</w:t>
            </w:r>
          </w:p>
        </w:tc>
        <w:tc>
          <w:tcPr>
            <w:tcW w:type="dxa" w:w="4320"/>
          </w:tcPr>
          <w:p>
            <w:r>
              <w:t>Verify distinct styles for button states...</w:t>
            </w:r>
          </w:p>
        </w:tc>
      </w:tr>
      <w:tr>
        <w:tc>
          <w:tcPr>
            <w:tcW w:type="dxa" w:w="4320"/>
          </w:tcPr>
          <w:p>
            <w:r>
              <w:rPr>
                <w:b/>
              </w:rPr>
              <w:t>Result</w:t>
            </w:r>
          </w:p>
        </w:tc>
        <w:tc>
          <w:tcPr>
            <w:tcW w:type="dxa" w:w="4320"/>
            <w:shd w:fill="C6EFCE" w:val="clear"/>
          </w:tcPr>
          <w:p>
            <w:r>
              <w:t>PASS</w:t>
            </w:r>
          </w:p>
        </w:tc>
      </w:tr>
      <w:tr>
        <w:tc>
          <w:tcPr>
            <w:tcW w:type="dxa" w:w="4320"/>
          </w:tcPr>
          <w:p>
            <w:r>
              <w:rPr>
                <w:b/>
              </w:rPr>
              <w:t>Reason</w:t>
            </w:r>
          </w:p>
        </w:tc>
        <w:tc>
          <w:tcPr>
            <w:tcW w:type="dxa" w:w="4320"/>
          </w:tcPr>
          <w:p>
            <w:r>
              <w:t>No enabled buttons found.</w:t>
            </w:r>
          </w:p>
        </w:tc>
      </w:tr>
    </w:tbl>
    <w:p>
      <w:r>
        <w:t>Screenshot Evidence:</w:t>
      </w:r>
    </w:p>
    <w:p>
      <w:r>
        <w:drawing>
          <wp:inline xmlns:a="http://schemas.openxmlformats.org/drawingml/2006/main" xmlns:pic="http://schemas.openxmlformats.org/drawingml/2006/picture">
            <wp:extent cx="5029200" cy="2601039"/>
            <wp:docPr id="4" name="Picture 4"/>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601039"/>
                    </a:xfrm>
                    <a:prstGeom prst="rect"/>
                  </pic:spPr>
                </pic:pic>
              </a:graphicData>
            </a:graphic>
          </wp:inline>
        </w:drawing>
      </w:r>
    </w:p>
    <w:p>
      <w:pPr>
        <w:pStyle w:val="Heading2"/>
      </w:pPr>
      <w:r>
        <w:t>BTN-03: Mouse Hover Feedback on Clickable Items</w:t>
      </w:r>
    </w:p>
    <w:tbl>
      <w:tblPr>
        <w:tblStyle w:val="TableGrid"/>
        <w:tblW w:type="auto" w:w="0"/>
        <w:tblLook w:firstColumn="1" w:firstRow="1" w:lastColumn="0" w:lastRow="0" w:noHBand="0" w:noVBand="1" w:val="04A0"/>
      </w:tblPr>
      <w:tblGrid>
        <w:gridCol w:w="4320"/>
        <w:gridCol w:w="4320"/>
      </w:tblGrid>
      <w:tr>
        <w:tc>
          <w:tcPr>
            <w:tcW w:type="dxa" w:w="4320"/>
          </w:tcPr>
          <w:p>
            <w:r>
              <w:rPr>
                <w:b/>
              </w:rPr>
              <w:t>Test Case</w:t>
            </w:r>
          </w:p>
        </w:tc>
        <w:tc>
          <w:tcPr>
            <w:tcW w:type="dxa" w:w="4320"/>
          </w:tcPr>
          <w:p>
            <w:r>
              <w:t>BTN-03</w:t>
            </w:r>
          </w:p>
        </w:tc>
      </w:tr>
      <w:tr>
        <w:tc>
          <w:tcPr>
            <w:tcW w:type="dxa" w:w="4320"/>
          </w:tcPr>
          <w:p>
            <w:r>
              <w:rPr>
                <w:b/>
              </w:rPr>
              <w:t>Description</w:t>
            </w:r>
          </w:p>
        </w:tc>
        <w:tc>
          <w:tcPr>
            <w:tcW w:type="dxa" w:w="4320"/>
          </w:tcPr>
          <w:p>
            <w:r>
              <w:t>Verify mouse hover prompts a noticeable change...</w:t>
            </w:r>
          </w:p>
        </w:tc>
      </w:tr>
      <w:tr>
        <w:tc>
          <w:tcPr>
            <w:tcW w:type="dxa" w:w="4320"/>
          </w:tcPr>
          <w:p>
            <w:r>
              <w:rPr>
                <w:b/>
              </w:rPr>
              <w:t>Result</w:t>
            </w:r>
          </w:p>
        </w:tc>
        <w:tc>
          <w:tcPr>
            <w:tcW w:type="dxa" w:w="4320"/>
            <w:shd w:fill="C6EFCE" w:val="clear"/>
          </w:tcPr>
          <w:p>
            <w:r>
              <w:t>PASS</w:t>
            </w:r>
          </w:p>
        </w:tc>
      </w:tr>
      <w:tr>
        <w:tc>
          <w:tcPr>
            <w:tcW w:type="dxa" w:w="4320"/>
          </w:tcPr>
          <w:p>
            <w:r>
              <w:rPr>
                <w:b/>
              </w:rPr>
              <w:t>Reason</w:t>
            </w:r>
          </w:p>
        </w:tc>
        <w:tc>
          <w:tcPr>
            <w:tcW w:type="dxa" w:w="4320"/>
          </w:tcPr>
          <w:p>
            <w:r>
              <w:t>No clickable elements found.</w:t>
            </w:r>
          </w:p>
        </w:tc>
      </w:tr>
    </w:tbl>
    <w:p>
      <w:r>
        <w:t>Screenshot Evidence:</w:t>
      </w:r>
    </w:p>
    <w:p>
      <w:r>
        <w:drawing>
          <wp:inline xmlns:a="http://schemas.openxmlformats.org/drawingml/2006/main" xmlns:pic="http://schemas.openxmlformats.org/drawingml/2006/picture">
            <wp:extent cx="5029200" cy="2601039"/>
            <wp:docPr id="5" name="Picture 5"/>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601039"/>
                    </a:xfrm>
                    <a:prstGeom prst="rect"/>
                  </pic:spPr>
                </pic:pic>
              </a:graphicData>
            </a:graphic>
          </wp:inline>
        </w:drawing>
      </w:r>
    </w:p>
    <w:p>
      <w:pPr>
        <w:pStyle w:val="Heading2"/>
      </w:pPr>
      <w:r>
        <w:t>SUMMARY: Overall Compliance Verdict</w:t>
      </w:r>
    </w:p>
    <w:tbl>
      <w:tblPr>
        <w:tblStyle w:val="TableGrid"/>
        <w:tblW w:type="auto" w:w="0"/>
        <w:tblLook w:firstColumn="1" w:firstRow="1" w:lastColumn="0" w:lastRow="0" w:noHBand="0" w:noVBand="1" w:val="04A0"/>
      </w:tblPr>
      <w:tblGrid>
        <w:gridCol w:w="4320"/>
        <w:gridCol w:w="4320"/>
      </w:tblGrid>
      <w:tr>
        <w:tc>
          <w:tcPr>
            <w:tcW w:type="dxa" w:w="4320"/>
          </w:tcPr>
          <w:p>
            <w:r>
              <w:rPr>
                <w:b/>
              </w:rPr>
              <w:t>Test Case</w:t>
            </w:r>
          </w:p>
        </w:tc>
        <w:tc>
          <w:tcPr>
            <w:tcW w:type="dxa" w:w="4320"/>
          </w:tcPr>
          <w:p>
            <w:r>
              <w:t>SUMMARY</w:t>
            </w:r>
          </w:p>
        </w:tc>
      </w:tr>
      <w:tr>
        <w:tc>
          <w:tcPr>
            <w:tcW w:type="dxa" w:w="4320"/>
          </w:tcPr>
          <w:p>
            <w:r>
              <w:rPr>
                <w:b/>
              </w:rPr>
              <w:t>Description</w:t>
            </w:r>
          </w:p>
        </w:tc>
        <w:tc>
          <w:tcPr>
            <w:tcW w:type="dxa" w:w="4320"/>
          </w:tcPr>
          <w:p>
            <w:r>
              <w:t>Aggregate summary across all rules.</w:t>
            </w:r>
          </w:p>
        </w:tc>
      </w:tr>
      <w:tr>
        <w:tc>
          <w:tcPr>
            <w:tcW w:type="dxa" w:w="4320"/>
          </w:tcPr>
          <w:p>
            <w:r>
              <w:rPr>
                <w:b/>
              </w:rPr>
              <w:t>Result</w:t>
            </w:r>
          </w:p>
        </w:tc>
        <w:tc>
          <w:tcPr>
            <w:tcW w:type="dxa" w:w="4320"/>
            <w:shd w:fill="C6EFCE" w:val="clear"/>
          </w:tcPr>
          <w:p>
            <w:r>
              <w:t>PASS</w:t>
            </w:r>
          </w:p>
        </w:tc>
      </w:tr>
      <w:tr>
        <w:tc>
          <w:tcPr>
            <w:tcW w:type="dxa" w:w="4320"/>
          </w:tcPr>
          <w:p>
            <w:r>
              <w:rPr>
                <w:b/>
              </w:rPr>
              <w:t>Reason</w:t>
            </w:r>
          </w:p>
        </w:tc>
        <w:tc>
          <w:tcPr>
            <w:tcW w:type="dxa" w:w="4320"/>
          </w:tcPr>
          <w:p>
            <w:r>
              <w:t>Audit complete. Total failures: 0.</w:t>
            </w:r>
          </w:p>
        </w:tc>
      </w:tr>
    </w:tbl>
    <w:p>
      <w:r>
        <w:t>Screenshot Evidence:</w:t>
      </w:r>
    </w:p>
    <w:p>
      <w:r>
        <w:drawing>
          <wp:inline xmlns:a="http://schemas.openxmlformats.org/drawingml/2006/main" xmlns:pic="http://schemas.openxmlformats.org/drawingml/2006/picture">
            <wp:extent cx="5029200" cy="2601039"/>
            <wp:docPr id="6" name="Picture 6"/>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601039"/>
                    </a:xfrm>
                    <a:prstGeom prst="rect"/>
                  </pic:spPr>
                </pic:pic>
              </a:graphicData>
            </a:graphic>
          </wp:inline>
        </w:drawing>
      </w:r>
    </w:p>
    <w:p>
      <w:r>
        <w:br w:type="page"/>
      </w:r>
    </w:p>
    <w:p>
      <w:pPr>
        <w:pStyle w:val="Heading1"/>
      </w:pPr>
      <w:r>
        <w:t>Methodology</w:t>
      </w:r>
    </w:p>
    <w:p>
      <w:r>
        <w:t>This audit uses Selenium WebDriver with a headless Chromium browser. The Type Scale validation has been completely redesigned: it now uses querySelectorAll() to analyze ALL heading and paragraph elements on the page (instead of only the first one). It calculates the largest H1/H2/H3 sizes, the median paragraph size, detects inconsistent heading sizes across the page, and flags paragraphs that are larger than headings. Clear, actionable failure messages are provided with full evidence of all discovered font sizes.</w:t>
      </w:r>
    </w:p>
    <w:p>
      <w:pPr>
        <w:pStyle w:val="Heading2"/>
      </w:pPr>
      <w:r>
        <w:t>Compliance Criteria</w:t>
      </w:r>
    </w:p>
    <w:p>
      <w:r>
        <w:t>As per Government of India digital presence guidelines, Noto Sans must be used, body text must be left-aligned, tables must follow proper alignment rules, content must avoid full capitalization and Hinglish, and typography must maintain a strict descending hierarchy (H1 &gt; H2 &gt; H3 &gt; P) consistently across the entire website.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left"/>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