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864"/>
          <w:sz w:val="52"/>
          <w:szCs w:val="52"/>
        </w:rPr>
        <w:t xml:space="preserve">EMPLOYEE ATTRITION ANALYSIS</w:t>
      </w:r>
    </w:p>
    <w:p>
      <w:pPr>
        <w:spacing w:after="200" w:before="200"/>
        <w:jc w:val="center"/>
      </w:pPr>
      <w:r>
        <w:rPr>
          <w:rFonts w:ascii="Calibri" w:cs="Calibri" w:eastAsia="Calibri" w:hAnsi="Calibri"/>
          <w:i/>
          <w:iCs/>
          <w:color w:val="2E74B5"/>
          <w:sz w:val="26"/>
          <w:szCs w:val="26"/>
        </w:rPr>
        <w:t xml:space="preserve">A Statistical Report on Workforce Turnover Drivers and Retention Strategy</w:t>
      </w:r>
    </w:p>
    <w:p>
      <w:pPr>
        <w:pBdr>
          <w:top w:val="single" w:color="2E74B5" w:sz="6" w:space="8"/>
        </w:pBdr>
        <w:spacing w:before="800"/>
        <w:jc w:val="center"/>
      </w:pPr>
    </w:p>
    <w:p>
      <w:pPr>
        <w:spacing w:before="1600"/>
        <w:jc w:val="center"/>
      </w:pPr>
      <w:r>
        <w:rPr>
          <w:rFonts w:ascii="Calibri" w:cs="Calibri" w:eastAsia="Calibri" w:hAnsi="Calibri"/>
          <w:color w:val="404040"/>
          <w:sz w:val="22"/>
          <w:szCs w:val="22"/>
        </w:rPr>
        <w:t xml:space="preserve">Prepared for: HR Analytics &amp; People Operations</w:t>
      </w:r>
    </w:p>
    <w:p>
      <w:pPr>
        <w:spacing w:before="120"/>
        <w:jc w:val="center"/>
      </w:pPr>
      <w:r>
        <w:rPr>
          <w:rFonts w:ascii="Calibri" w:cs="Calibri" w:eastAsia="Calibri" w:hAnsi="Calibri"/>
          <w:color w:val="404040"/>
          <w:sz w:val="22"/>
          <w:szCs w:val="22"/>
        </w:rPr>
        <w:t xml:space="preserve">Prepared by: Data Science Team</w:t>
      </w:r>
    </w:p>
    <w:p>
      <w:pPr>
        <w:spacing w:before="120"/>
        <w:jc w:val="center"/>
      </w:pPr>
      <w:r>
        <w:rPr>
          <w:rFonts w:ascii="Calibri" w:cs="Calibri" w:eastAsia="Calibri" w:hAnsi="Calibri"/>
          <w:color w:val="404040"/>
          <w:sz w:val="22"/>
          <w:szCs w:val="22"/>
        </w:rPr>
        <w:t xml:space="preserve">Report Date: August 2026</w:t>
      </w:r>
    </w:p>
    <w:p>
      <w:pPr>
        <w:spacing w:before="120"/>
        <w:jc w:val="center"/>
      </w:pPr>
      <w:r>
        <w:rPr>
          <w:rFonts w:ascii="Calibri" w:cs="Calibri" w:eastAsia="Calibri" w:hAnsi="Calibri"/>
          <w:i/>
          <w:iCs/>
          <w:color w:val="595959"/>
          <w:sz w:val="20"/>
          <w:szCs w:val="20"/>
        </w:rPr>
        <w:t xml:space="preserve">Classification: Internal – HR Use Only</w:t>
      </w:r>
    </w:p>
    <w:p>
      <w:pPr>
        <w:sectPr>
          <w:pgSz w:w="12240" w:h="15840" w:orient="portrait"/>
          <w:pgMar w:top="1440" w:right="1440" w:bottom="1440" w:left="1440" w:header="708" w:footer="708" w:gutter="0"/>
          <w:pgNumType/>
          <w:docGrid w:linePitch="360"/>
        </w:sectPr>
      </w:pPr>
    </w:p>
    <w:p>
      <w:pPr>
        <w:pStyle w:val="Heading1"/>
        <w:pBdr>
          <w:bottom w:val="single" w:color="2E74B5" w:sz="6" w:space="4"/>
        </w:pBdr>
        <w:spacing w:after="200" w:before="40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1. Executive Summary</w:t>
      </w:r>
    </w:p>
    <w:p>
      <w:pPr>
        <w:spacing w:after="160" w:line="276"/>
      </w:pPr>
      <w:r>
        <w:rPr>
          <w:rFonts w:ascii="Calibri" w:cs="Calibri" w:eastAsia="Calibri" w:hAnsi="Calibri"/>
          <w:color w:val="262626"/>
          <w:sz w:val="22"/>
          <w:szCs w:val="22"/>
        </w:rPr>
        <w:t xml:space="preserve">This report presents the findings of a statistical analysis of employee attrition, undertaken to identify the demographic, performance, and engagement factors most strongly associated with voluntary and involuntary turnover. The analysis combines exploratory data analysis, formal hypothesis testing, and logistic regression modelling to quantify risk factors and translate them into actionable retention strategy.</w:t>
      </w:r>
    </w:p>
    <w:p>
      <w:pPr>
        <w:spacing w:after="160" w:line="276"/>
      </w:pPr>
      <w:r>
        <w:rPr>
          <w:rFonts w:ascii="Calibri" w:cs="Calibri" w:eastAsia="Calibri" w:hAnsi="Calibri"/>
          <w:color w:val="262626"/>
          <w:sz w:val="22"/>
          <w:szCs w:val="22"/>
        </w:rPr>
        <w:t xml:space="preserve">Across the workforce sample analysed, employees with low job satisfaction scores, extended tenure without promotion, and below-average access to training were disproportionately represented among leavers. The predictive model identifies years since last promotion as the single strongest driver of attrition risk, followed by job satisfaction and training frequency.</w:t>
      </w:r>
    </w:p>
    <w:p>
      <w:pPr>
        <w:spacing w:after="160" w:line="276"/>
      </w:pPr>
      <w:r>
        <w:rPr>
          <w:rFonts w:ascii="Calibri" w:cs="Calibri" w:eastAsia="Calibri" w:hAnsi="Calibri"/>
          <w:color w:val="262626"/>
          <w:sz w:val="22"/>
          <w:szCs w:val="22"/>
        </w:rPr>
        <w:t xml:space="preserve">Key recommendations include restructuring promotion pathways for long-tenured employees, increasing training investment in high-attrition departments, and deploying a segmented, risk-scored monitoring programme so HR teams can intervene before employees disengage.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Metric</w:t>
            </w:r>
          </w:p>
        </w:tc>
        <w:tc>
          <w:tcPr>
            <w:tcW w:type="dxa" w:w="4675"/>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Headline Result</w:t>
            </w:r>
          </w:p>
        </w:tc>
      </w:tr>
      <w:tr>
        <w:tc>
          <w:tcPr>
            <w:tcW w:type="dxa" w:w="4675"/>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Employees analysed</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1,470 records across 9 departments</w:t>
            </w:r>
          </w:p>
        </w:tc>
      </w:tr>
      <w:tr>
        <w:tc>
          <w:tcPr>
            <w:tcW w:type="dxa" w:w="4675"/>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Overall attrition rate</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16.1%</w:t>
            </w:r>
          </w:p>
        </w:tc>
      </w:tr>
      <w:tr>
        <w:tc>
          <w:tcPr>
            <w:tcW w:type="dxa" w:w="4675"/>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Strongest single predictor</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Years since last promotion (OR = 1.42)</w:t>
            </w:r>
          </w:p>
        </w:tc>
      </w:tr>
      <w:tr>
        <w:tc>
          <w:tcPr>
            <w:tcW w:type="dxa" w:w="4675"/>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Model performance</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81.4% accuracy, 0.79 AUC (5-fold CV)</w:t>
            </w:r>
          </w:p>
        </w:tc>
      </w:tr>
      <w:tr>
        <w:tc>
          <w:tcPr>
            <w:tcW w:type="dxa" w:w="4675"/>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Highest-risk segment</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Sales reps, tenure 3–5 yrs, no recent promotion</w:t>
            </w:r>
          </w:p>
        </w:tc>
      </w:tr>
    </w:tbl>
    <w:p>
      <w:pPr>
        <w:spacing w:after="240" w:before="60"/>
      </w:pPr>
      <w:r>
        <w:rPr>
          <w:rFonts w:ascii="Calibri" w:cs="Calibri" w:eastAsia="Calibri" w:hAnsi="Calibri"/>
          <w:i/>
          <w:iCs/>
          <w:color w:val="595959"/>
          <w:sz w:val="18"/>
          <w:szCs w:val="18"/>
        </w:rPr>
        <w:t xml:space="preserve">Table 1. Summary of key metrics from the attrition analysis.</w:t>
      </w:r>
    </w:p>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2. Introduction &amp; Business Context</w:t>
      </w:r>
    </w:p>
    <w:p>
      <w:pPr>
        <w:spacing w:after="160" w:line="276"/>
      </w:pPr>
      <w:r>
        <w:rPr>
          <w:rFonts w:ascii="Calibri" w:cs="Calibri" w:eastAsia="Calibri" w:hAnsi="Calibri"/>
          <w:color w:val="262626"/>
          <w:sz w:val="22"/>
          <w:szCs w:val="22"/>
        </w:rPr>
        <w:t xml:space="preserve">Employee attrition carries substantial direct and indirect costs, including recruitment, onboarding, lost productivity, and knowledge drain. Organisations that can anticipate which employees are at elevated risk of leaving are better positioned to intervene early, target retention spend efficiently, and protect institutional knowledge in critical roles.</w:t>
      </w:r>
    </w:p>
    <w:p>
      <w:pPr>
        <w:spacing w:after="160" w:line="276"/>
      </w:pPr>
      <w:r>
        <w:rPr>
          <w:rFonts w:ascii="Calibri" w:cs="Calibri" w:eastAsia="Calibri" w:hAnsi="Calibri"/>
          <w:color w:val="262626"/>
          <w:sz w:val="22"/>
          <w:szCs w:val="22"/>
        </w:rPr>
        <w:t xml:space="preserve">This project was undertaken to move HR decision-making from anecdote to evidence: to test specific hypotheses about why employees leave, to quantify the size of each effect, and to produce a model that can flag at-risk employees for proactive management action.</w:t>
      </w:r>
    </w:p>
    <w:p>
      <w:pPr>
        <w:pStyle w:val="Heading2"/>
        <w:spacing w:after="120" w:before="300"/>
      </w:pPr>
      <w:r>
        <w:rPr>
          <w:rFonts w:ascii="Calibri" w:cs="Calibri" w:eastAsia="Calibri" w:hAnsi="Calibri"/>
          <w:b/>
          <w:bCs/>
          <w:color w:val="1F3864"/>
          <w:sz w:val="24"/>
          <w:szCs w:val="24"/>
        </w:rPr>
        <w:t xml:space="preserve">2.1 Objectives</w:t>
      </w:r>
    </w:p>
    <w:p>
      <w:pPr>
        <w:pStyle w:val="ListParagraph"/>
        <w:numPr>
          <w:ilvl w:val="0"/>
          <w:numId w:val="2"/>
        </w:numPr>
        <w:spacing w:after="90"/>
      </w:pPr>
      <w:r>
        <w:rPr>
          <w:rFonts w:ascii="Calibri" w:cs="Calibri" w:eastAsia="Calibri" w:hAnsi="Calibri"/>
          <w:color w:val="262626"/>
          <w:sz w:val="22"/>
          <w:szCs w:val="22"/>
        </w:rPr>
        <w:t xml:space="preserve">Characterise the demographic and engagement profile of employees who leave versus those who stay.</w:t>
      </w:r>
    </w:p>
    <w:p>
      <w:pPr>
        <w:pStyle w:val="ListParagraph"/>
        <w:numPr>
          <w:ilvl w:val="0"/>
          <w:numId w:val="2"/>
        </w:numPr>
        <w:spacing w:after="90"/>
      </w:pPr>
      <w:r>
        <w:rPr>
          <w:rFonts w:ascii="Calibri" w:cs="Calibri" w:eastAsia="Calibri" w:hAnsi="Calibri"/>
          <w:color w:val="262626"/>
          <w:sz w:val="22"/>
          <w:szCs w:val="22"/>
        </w:rPr>
        <w:t xml:space="preserve">Statistically test common HR hypotheses about attrition drivers (training, satisfaction, promotion cadence).</w:t>
      </w:r>
    </w:p>
    <w:p>
      <w:pPr>
        <w:pStyle w:val="ListParagraph"/>
        <w:numPr>
          <w:ilvl w:val="0"/>
          <w:numId w:val="2"/>
        </w:numPr>
        <w:spacing w:after="90"/>
      </w:pPr>
      <w:r>
        <w:rPr>
          <w:rFonts w:ascii="Calibri" w:cs="Calibri" w:eastAsia="Calibri" w:hAnsi="Calibri"/>
          <w:color w:val="262626"/>
          <w:sz w:val="22"/>
          <w:szCs w:val="22"/>
        </w:rPr>
        <w:t xml:space="preserve">Build an interpretable predictive model that quantifies each factor's contribution to attrition risk.</w:t>
      </w:r>
    </w:p>
    <w:p>
      <w:pPr>
        <w:pStyle w:val="ListParagraph"/>
        <w:numPr>
          <w:ilvl w:val="0"/>
          <w:numId w:val="2"/>
        </w:numPr>
        <w:spacing w:after="90"/>
      </w:pPr>
      <w:r>
        <w:rPr>
          <w:rFonts w:ascii="Calibri" w:cs="Calibri" w:eastAsia="Calibri" w:hAnsi="Calibri"/>
          <w:color w:val="262626"/>
          <w:sz w:val="22"/>
          <w:szCs w:val="22"/>
        </w:rPr>
        <w:t xml:space="preserve">Translate findings into prioritised, actionable retention recommendations for HR stakeholders.</w:t>
      </w:r>
    </w:p>
    <w:p>
      <w:pPr>
        <w:pStyle w:val="Heading1"/>
        <w:pBdr>
          <w:bottom w:val="single" w:color="2E74B5" w:sz="6" w:space="4"/>
        </w:pBdr>
        <w:spacing w:after="200" w:before="400"/>
      </w:pPr>
      <w:r>
        <w:rPr>
          <w:rFonts w:ascii="Calibri" w:cs="Calibri" w:eastAsia="Calibri" w:hAnsi="Calibri"/>
          <w:b/>
          <w:bCs/>
          <w:color w:val="1F3864"/>
          <w:sz w:val="30"/>
          <w:szCs w:val="30"/>
        </w:rPr>
        <w:t xml:space="preserve">3. Data &amp; Methodology</w:t>
      </w:r>
    </w:p>
    <w:p>
      <w:pPr>
        <w:pStyle w:val="Heading2"/>
        <w:spacing w:after="120" w:before="300"/>
      </w:pPr>
      <w:r>
        <w:rPr>
          <w:rFonts w:ascii="Calibri" w:cs="Calibri" w:eastAsia="Calibri" w:hAnsi="Calibri"/>
          <w:b/>
          <w:bCs/>
          <w:color w:val="1F3864"/>
          <w:sz w:val="24"/>
          <w:szCs w:val="24"/>
        </w:rPr>
        <w:t xml:space="preserve">3.1 Dataset</w:t>
      </w:r>
    </w:p>
    <w:p>
      <w:pPr>
        <w:spacing w:after="160" w:line="276"/>
      </w:pPr>
      <w:r>
        <w:rPr>
          <w:rFonts w:ascii="Calibri" w:cs="Calibri" w:eastAsia="Calibri" w:hAnsi="Calibri"/>
          <w:color w:val="262626"/>
          <w:sz w:val="22"/>
          <w:szCs w:val="22"/>
        </w:rPr>
        <w:t xml:space="preserve">The analysis draws on employee-level records including employee ID, age, gender, department, job role, tenure, salary, job satisfaction rating, years since last promotion, number of trainings completed, and a binary attrition flag (Yes/No). Data was partitioned into raw and processed layers to support reproducible preprocessing.</w:t>
      </w:r>
    </w:p>
    <w:p>
      <w:pPr>
        <w:pStyle w:val="Heading2"/>
        <w:spacing w:after="120" w:before="300"/>
      </w:pPr>
      <w:r>
        <w:rPr>
          <w:rFonts w:ascii="Calibri" w:cs="Calibri" w:eastAsia="Calibri" w:hAnsi="Calibri"/>
          <w:b/>
          <w:bCs/>
          <w:color w:val="1F3864"/>
          <w:sz w:val="24"/>
          <w:szCs w:val="24"/>
        </w:rPr>
        <w:t xml:space="preserve">3.2 Analytical Workflow</w:t>
      </w:r>
    </w:p>
    <w:p>
      <w:pPr>
        <w:pStyle w:val="ListParagraph"/>
        <w:numPr>
          <w:ilvl w:val="0"/>
          <w:numId w:val="2"/>
        </w:numPr>
        <w:spacing w:after="90"/>
      </w:pPr>
      <w:r>
        <w:rPr>
          <w:rFonts w:ascii="Calibri" w:cs="Calibri" w:eastAsia="Calibri" w:hAnsi="Calibri"/>
          <w:color w:val="262626"/>
          <w:sz w:val="22"/>
          <w:szCs w:val="22"/>
        </w:rPr>
        <w:t xml:space="preserve">Data cleaning: missing-value treatment, outlier review, and skewness checks on numeric fields.</w:t>
      </w:r>
    </w:p>
    <w:p>
      <w:pPr>
        <w:pStyle w:val="ListParagraph"/>
        <w:numPr>
          <w:ilvl w:val="0"/>
          <w:numId w:val="2"/>
        </w:numPr>
        <w:spacing w:after="90"/>
      </w:pPr>
      <w:r>
        <w:rPr>
          <w:rFonts w:ascii="Calibri" w:cs="Calibri" w:eastAsia="Calibri" w:hAnsi="Calibri"/>
          <w:color w:val="262626"/>
          <w:sz w:val="22"/>
          <w:szCs w:val="22"/>
        </w:rPr>
        <w:t xml:space="preserve">Exploratory data analysis: distribution comparisons of leavers vs. stayers across age, tenure, and satisfaction; correlation analysis against the attrition flag.</w:t>
      </w:r>
    </w:p>
    <w:p>
      <w:pPr>
        <w:pStyle w:val="ListParagraph"/>
        <w:numPr>
          <w:ilvl w:val="0"/>
          <w:numId w:val="2"/>
        </w:numPr>
        <w:spacing w:after="90"/>
      </w:pPr>
      <w:r>
        <w:rPr>
          <w:rFonts w:ascii="Calibri" w:cs="Calibri" w:eastAsia="Calibri" w:hAnsi="Calibri"/>
          <w:color w:val="262626"/>
          <w:sz w:val="22"/>
          <w:szCs w:val="22"/>
        </w:rPr>
        <w:t xml:space="preserve">Feature engineering: tenure bands, promotion-to-tenure ratio, and training-per-year rate.</w:t>
      </w:r>
    </w:p>
    <w:p>
      <w:pPr>
        <w:pStyle w:val="ListParagraph"/>
        <w:numPr>
          <w:ilvl w:val="0"/>
          <w:numId w:val="2"/>
        </w:numPr>
        <w:spacing w:after="90"/>
      </w:pPr>
      <w:r>
        <w:rPr>
          <w:rFonts w:ascii="Calibri" w:cs="Calibri" w:eastAsia="Calibri" w:hAnsi="Calibri"/>
          <w:color w:val="262626"/>
          <w:sz w:val="22"/>
          <w:szCs w:val="22"/>
        </w:rPr>
        <w:t xml:space="preserve">Hypothesis testing: two-sample t-tests and chi-square tests comparing attrited and retained groups.</w:t>
      </w:r>
    </w:p>
    <w:p>
      <w:pPr>
        <w:pStyle w:val="ListParagraph"/>
        <w:numPr>
          <w:ilvl w:val="0"/>
          <w:numId w:val="2"/>
        </w:numPr>
        <w:spacing w:after="90"/>
      </w:pPr>
      <w:r>
        <w:rPr>
          <w:rFonts w:ascii="Calibri" w:cs="Calibri" w:eastAsia="Calibri" w:hAnsi="Calibri"/>
          <w:color w:val="262626"/>
          <w:sz w:val="22"/>
          <w:szCs w:val="22"/>
        </w:rPr>
        <w:t xml:space="preserve">Predictive modelling: logistic regression with odds-ratio interpretation, validated via 5-fold cross-validation.</w:t>
      </w:r>
    </w:p>
    <w:p>
      <w:pPr>
        <w:pStyle w:val="Heading2"/>
        <w:spacing w:after="120" w:before="300"/>
      </w:pPr>
      <w:r>
        <w:rPr>
          <w:rFonts w:ascii="Calibri" w:cs="Calibri" w:eastAsia="Calibri" w:hAnsi="Calibri"/>
          <w:b/>
          <w:bCs/>
          <w:color w:val="1F3864"/>
          <w:sz w:val="24"/>
          <w:szCs w:val="24"/>
        </w:rPr>
        <w:t xml:space="preserve">3.3 Tools</w:t>
      </w:r>
    </w:p>
    <w:p>
      <w:pPr>
        <w:spacing w:after="160" w:line="276"/>
      </w:pPr>
      <w:r>
        <w:rPr>
          <w:rFonts w:ascii="Calibri" w:cs="Calibri" w:eastAsia="Calibri" w:hAnsi="Calibri"/>
          <w:color w:val="262626"/>
          <w:sz w:val="22"/>
          <w:szCs w:val="22"/>
        </w:rPr>
        <w:t xml:space="preserve">Analysis was performed in Python using pandas and numpy for data handling, matplotlib and seaborn for visualisation, and scipy and statsmodels for statistical testing and regression modelling, within a Jupyter Notebook environment.</w:t>
      </w:r>
    </w:p>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4. Exploratory Data Analysis</w:t>
      </w:r>
    </w:p>
    <w:p>
      <w:pPr>
        <w:spacing w:after="160" w:line="276"/>
      </w:pPr>
      <w:r>
        <w:rPr>
          <w:rFonts w:ascii="Calibri" w:cs="Calibri" w:eastAsia="Calibri" w:hAnsi="Calibri"/>
          <w:color w:val="262626"/>
          <w:sz w:val="22"/>
          <w:szCs w:val="22"/>
        </w:rPr>
        <w:t xml:space="preserve">Initial exploration compared the distribution of leavers and stayers across core demographic and engagement variables. Several consistent patterns emerged prior to any formal testing.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5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4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Pattern Observed</w:t>
            </w:r>
          </w:p>
        </w:tc>
        <w:tc>
          <w:tcPr>
            <w:tcW w:type="dxa" w:w="25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Direction of Effect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Job satisfaction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Leavers skew toward the lowest 2 rating bands</w:t>
            </w:r>
          </w:p>
        </w:tc>
        <w:tc>
          <w:tcPr>
            <w:tcW w:type="dxa" w:w="255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Lower satisfaction → higher attrition</w:t>
            </w:r>
          </w:p>
        </w:tc>
      </w:tr>
      <w:tr>
        <w:tc>
          <w:tcPr>
            <w:tcW w:type="dxa" w:w="260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Tenure</w:t>
            </w:r>
          </w:p>
        </w:tc>
        <w:tc>
          <w:tcPr>
            <w:tcW w:type="dxa" w:w="420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Elevated risk concentrated in years 2–5</w:t>
            </w:r>
          </w:p>
        </w:tc>
        <w:tc>
          <w:tcPr>
            <w:tcW w:type="dxa" w:w="255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Mid-tenure → higher attrition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Years since promotion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Leavers average 1.8 yrs longer without promotion</w:t>
            </w:r>
          </w:p>
        </w:tc>
        <w:tc>
          <w:tcPr>
            <w:tcW w:type="dxa" w:w="255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Longer gap → higher attrition</w:t>
            </w:r>
          </w:p>
        </w:tc>
      </w:tr>
      <w:tr>
        <w:tc>
          <w:tcPr>
            <w:tcW w:type="dxa" w:w="260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Trainings attended</w:t>
            </w:r>
          </w:p>
        </w:tc>
        <w:tc>
          <w:tcPr>
            <w:tcW w:type="dxa" w:w="420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Leavers average 40% fewer sessions per year</w:t>
            </w:r>
          </w:p>
        </w:tc>
        <w:tc>
          <w:tcPr>
            <w:tcW w:type="dxa" w:w="255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Fewer trainings → higher attrition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Department</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Sales and Customer Support above the company average</w:t>
            </w:r>
          </w:p>
        </w:tc>
        <w:tc>
          <w:tcPr>
            <w:tcW w:type="dxa" w:w="255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Role-dependent</w:t>
            </w:r>
          </w:p>
        </w:tc>
      </w:tr>
    </w:tbl>
    <w:p>
      <w:pPr>
        <w:spacing w:after="240" w:before="60"/>
      </w:pPr>
      <w:r>
        <w:rPr>
          <w:rFonts w:ascii="Calibri" w:cs="Calibri" w:eastAsia="Calibri" w:hAnsi="Calibri"/>
          <w:i/>
          <w:iCs/>
          <w:color w:val="595959"/>
          <w:sz w:val="18"/>
          <w:szCs w:val="18"/>
        </w:rPr>
        <w:t xml:space="preserve">Table 2. Summary of exploratory patterns by feature.</w:t>
      </w:r>
    </w:p>
    <w:p>
      <w:pPr>
        <w:spacing w:after="160" w:line="276"/>
      </w:pPr>
      <w:r>
        <w:rPr>
          <w:rFonts w:ascii="Calibri" w:cs="Calibri" w:eastAsia="Calibri" w:hAnsi="Calibri"/>
          <w:color w:val="262626"/>
          <w:sz w:val="22"/>
          <w:szCs w:val="22"/>
        </w:rPr>
        <w:t xml:space="preserve">Correlation analysis confirmed that years since last promotion and job satisfaction had the strongest linear association with the attrition flag among numeric features, while age and salary showed weaker standalone relationships – suggesting their effects are more likely mediated through tenure and role rather than acting independently.</w:t>
      </w:r>
    </w:p>
    <w:p>
      <w:pPr>
        <w:pStyle w:val="Heading1"/>
        <w:pBdr>
          <w:bottom w:val="single" w:color="2E74B5" w:sz="6" w:space="4"/>
        </w:pBdr>
        <w:spacing w:after="200" w:before="400"/>
      </w:pPr>
      <w:r>
        <w:rPr>
          <w:rFonts w:ascii="Calibri" w:cs="Calibri" w:eastAsia="Calibri" w:hAnsi="Calibri"/>
          <w:b/>
          <w:bCs/>
          <w:color w:val="1F3864"/>
          <w:sz w:val="30"/>
          <w:szCs w:val="30"/>
        </w:rPr>
        <w:t xml:space="preserve">5. Hypothesis Testing</w:t>
      </w:r>
    </w:p>
    <w:p>
      <w:pPr>
        <w:spacing w:after="160" w:line="276"/>
      </w:pPr>
      <w:r>
        <w:rPr>
          <w:rFonts w:ascii="Calibri" w:cs="Calibri" w:eastAsia="Calibri" w:hAnsi="Calibri"/>
          <w:color w:val="262626"/>
          <w:sz w:val="22"/>
          <w:szCs w:val="22"/>
        </w:rPr>
        <w:t xml:space="preserve">Formal statistical tests were used to confirm whether patterns observed in the exploratory phase were statistically significant rather than sampling noise.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1900"/>
        <w:gridCol w:w="1950"/>
      </w:tblGrid>
      <w:tr>
        <w:trPr>
          <w:tblHeader/>
        </w:trPr>
        <w:tc>
          <w:tcPr>
            <w:tcW w:type="dxa" w:w="33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Hypothesis</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Test Used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Result (p-value)</w:t>
            </w:r>
          </w:p>
        </w:tc>
        <w:tc>
          <w:tcPr>
            <w:tcW w:type="dxa" w:w="19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Conclusion</w:t>
            </w:r>
          </w:p>
        </w:tc>
      </w:tr>
      <w:tr>
        <w:tc>
          <w:tcPr>
            <w:tcW w:type="dxa" w:w="33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Fewer trainings → higher attrition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Two-sample t-test</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 &lt; 0.001</w:t>
            </w:r>
          </w:p>
        </w:tc>
        <w:tc>
          <w:tcPr>
            <w:tcW w:type="dxa" w:w="195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Supported</w:t>
            </w:r>
          </w:p>
        </w:tc>
      </w:tr>
      <w:tr>
        <w:tc>
          <w:tcPr>
            <w:tcW w:type="dxa" w:w="330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Higher satisfaction → lower attrition</w:t>
            </w:r>
          </w:p>
        </w:tc>
        <w:tc>
          <w:tcPr>
            <w:tcW w:type="dxa" w:w="220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Two-sample t-test</w:t>
            </w:r>
          </w:p>
        </w:tc>
        <w:tc>
          <w:tcPr>
            <w:tcW w:type="dxa" w:w="190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 &lt; 0.001</w:t>
            </w:r>
          </w:p>
        </w:tc>
        <w:tc>
          <w:tcPr>
            <w:tcW w:type="dxa" w:w="195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Supported</w:t>
            </w:r>
          </w:p>
        </w:tc>
      </w:tr>
      <w:tr>
        <w:tc>
          <w:tcPr>
            <w:tcW w:type="dxa" w:w="33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Attrition varies by department</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Chi-square test</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 = 0.004</w:t>
            </w:r>
          </w:p>
        </w:tc>
        <w:tc>
          <w:tcPr>
            <w:tcW w:type="dxa" w:w="195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Supported</w:t>
            </w:r>
          </w:p>
        </w:tc>
      </w:tr>
      <w:tr>
        <w:tc>
          <w:tcPr>
            <w:tcW w:type="dxa" w:w="330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Attrition varies by gender</w:t>
            </w:r>
          </w:p>
        </w:tc>
        <w:tc>
          <w:tcPr>
            <w:tcW w:type="dxa" w:w="220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Chi-square test</w:t>
            </w:r>
          </w:p>
        </w:tc>
        <w:tc>
          <w:tcPr>
            <w:tcW w:type="dxa" w:w="190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p = 0.29</w:t>
            </w:r>
          </w:p>
        </w:tc>
        <w:tc>
          <w:tcPr>
            <w:tcW w:type="dxa" w:w="195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Not supported</w:t>
            </w:r>
          </w:p>
        </w:tc>
      </w:tr>
    </w:tbl>
    <w:p>
      <w:pPr>
        <w:spacing w:after="240" w:before="60"/>
      </w:pPr>
      <w:r>
        <w:rPr>
          <w:rFonts w:ascii="Calibri" w:cs="Calibri" w:eastAsia="Calibri" w:hAnsi="Calibri"/>
          <w:i/>
          <w:iCs/>
          <w:color w:val="595959"/>
          <w:sz w:val="18"/>
          <w:szCs w:val="18"/>
        </w:rPr>
        <w:t xml:space="preserve">Table 3. Hypothesis test results comparing attrited and retained employees.</w:t>
      </w:r>
    </w:p>
    <w:p>
      <w:pPr>
        <w:spacing w:after="160" w:line="276"/>
      </w:pPr>
      <w:r>
        <w:rPr>
          <w:rFonts w:ascii="Calibri" w:cs="Calibri" w:eastAsia="Calibri" w:hAnsi="Calibri"/>
          <w:color w:val="262626"/>
          <w:sz w:val="22"/>
          <w:szCs w:val="22"/>
        </w:rPr>
        <w:t xml:space="preserve">The absence of a significant gender effect is a reassuring finding from an equity standpoint, and indicates that observed attrition drivers are role- and engagement-based rather than demographic.</w:t>
      </w:r>
    </w:p>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6. Predictive Modelling</w:t>
      </w:r>
    </w:p>
    <w:p>
      <w:pPr>
        <w:spacing w:after="160" w:line="276"/>
      </w:pPr>
      <w:r>
        <w:rPr>
          <w:rFonts w:ascii="Calibri" w:cs="Calibri" w:eastAsia="Calibri" w:hAnsi="Calibri"/>
          <w:color w:val="262626"/>
          <w:sz w:val="22"/>
          <w:szCs w:val="22"/>
        </w:rPr>
        <w:t xml:space="preserve">A logistic regression model was fitted to predict the probability of attrition using the engineered feature set. Odds ratios (OR) express how the odds of leaving change for a one-unit increase in each predictor, holding other variables constant.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750"/>
        <w:gridCol w:w="2900"/>
      </w:tblGrid>
      <w:tr>
        <w:trPr>
          <w:tblHeader/>
        </w:trPr>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Predictor</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Odds Ratio</w:t>
            </w:r>
          </w:p>
        </w:tc>
        <w:tc>
          <w:tcPr>
            <w:tcW w:type="dxa" w:w="1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95% CI</w:t>
            </w:r>
          </w:p>
        </w:tc>
        <w:tc>
          <w:tcPr>
            <w:tcW w:type="dxa" w:w="2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Interpretation</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Years since last promotion</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1.42</w:t>
            </w:r>
          </w:p>
        </w:tc>
        <w:tc>
          <w:tcPr>
            <w:tcW w:type="dxa" w:w="175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1.29 – 1.56</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Each additional year raises attrition odds by ~42%</w:t>
            </w:r>
          </w:p>
        </w:tc>
      </w:tr>
      <w:tr>
        <w:tc>
          <w:tcPr>
            <w:tcW w:type="dxa" w:w="320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Job satisfaction (per point)</w:t>
            </w:r>
          </w:p>
        </w:tc>
        <w:tc>
          <w:tcPr>
            <w:tcW w:type="dxa" w:w="150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0.71</w:t>
            </w:r>
          </w:p>
        </w:tc>
        <w:tc>
          <w:tcPr>
            <w:tcW w:type="dxa" w:w="175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0.63 – 0.80</w:t>
            </w:r>
          </w:p>
        </w:tc>
        <w:tc>
          <w:tcPr>
            <w:tcW w:type="dxa" w:w="290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Each point of satisfaction lowers odds by ~29%</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Trainings per year</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0.82</w:t>
            </w:r>
          </w:p>
        </w:tc>
        <w:tc>
          <w:tcPr>
            <w:tcW w:type="dxa" w:w="175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0.74 – 0.91</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More training is associated with lower attrition odds</w:t>
            </w:r>
          </w:p>
        </w:tc>
      </w:tr>
      <w:tr>
        <w:tc>
          <w:tcPr>
            <w:tcW w:type="dxa" w:w="320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Tenure (years)</w:t>
            </w:r>
          </w:p>
        </w:tc>
        <w:tc>
          <w:tcPr>
            <w:tcW w:type="dxa" w:w="150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1.11</w:t>
            </w:r>
          </w:p>
        </w:tc>
        <w:tc>
          <w:tcPr>
            <w:tcW w:type="dxa" w:w="175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1.02 – 1.21</w:t>
            </w:r>
          </w:p>
        </w:tc>
        <w:tc>
          <w:tcPr>
            <w:tcW w:type="dxa" w:w="290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Modest independent effect once promotion gap is controlled</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Monthly salary (standardised)</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0.94</w:t>
            </w:r>
          </w:p>
        </w:tc>
        <w:tc>
          <w:tcPr>
            <w:tcW w:type="dxa" w:w="175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0.85 – 1.04</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Weak, not statistically significant</w:t>
            </w:r>
          </w:p>
        </w:tc>
      </w:tr>
    </w:tbl>
    <w:p>
      <w:pPr>
        <w:spacing w:after="240" w:before="60"/>
      </w:pPr>
      <w:r>
        <w:rPr>
          <w:rFonts w:ascii="Calibri" w:cs="Calibri" w:eastAsia="Calibri" w:hAnsi="Calibri"/>
          <w:i/>
          <w:iCs/>
          <w:color w:val="595959"/>
          <w:sz w:val="18"/>
          <w:szCs w:val="18"/>
        </w:rPr>
        <w:t xml:space="preserve">Table 4. Logistic regression coefficients expressed as odds ratios.</w:t>
      </w:r>
    </w:p>
    <w:p>
      <w:pPr>
        <w:pStyle w:val="Heading2"/>
        <w:spacing w:after="120" w:before="300"/>
      </w:pPr>
      <w:r>
        <w:rPr>
          <w:rFonts w:ascii="Calibri" w:cs="Calibri" w:eastAsia="Calibri" w:hAnsi="Calibri"/>
          <w:b/>
          <w:bCs/>
          <w:color w:val="1F3864"/>
          <w:sz w:val="24"/>
          <w:szCs w:val="24"/>
        </w:rPr>
        <w:t xml:space="preserve">6.1 Model Performance</w:t>
      </w:r>
    </w:p>
    <w:p>
      <w:pPr>
        <w:pStyle w:val="ListParagraph"/>
        <w:numPr>
          <w:ilvl w:val="0"/>
          <w:numId w:val="2"/>
        </w:numPr>
        <w:spacing w:after="90"/>
      </w:pPr>
      <w:r>
        <w:rPr>
          <w:rFonts w:ascii="Calibri" w:cs="Calibri" w:eastAsia="Calibri" w:hAnsi="Calibri"/>
          <w:color w:val="262626"/>
          <w:sz w:val="22"/>
          <w:szCs w:val="22"/>
        </w:rPr>
        <w:t xml:space="preserve">Accuracy: 81.4% on held-out folds (5-fold cross-validation)</w:t>
      </w:r>
    </w:p>
    <w:p>
      <w:pPr>
        <w:pStyle w:val="ListParagraph"/>
        <w:numPr>
          <w:ilvl w:val="0"/>
          <w:numId w:val="2"/>
        </w:numPr>
        <w:spacing w:after="90"/>
      </w:pPr>
      <w:r>
        <w:rPr>
          <w:rFonts w:ascii="Calibri" w:cs="Calibri" w:eastAsia="Calibri" w:hAnsi="Calibri"/>
          <w:color w:val="262626"/>
          <w:sz w:val="22"/>
          <w:szCs w:val="22"/>
        </w:rPr>
        <w:t xml:space="preserve">AUC-ROC: 0.79, indicating good discriminative ability between leavers and stayers</w:t>
      </w:r>
    </w:p>
    <w:p>
      <w:pPr>
        <w:pStyle w:val="ListParagraph"/>
        <w:numPr>
          <w:ilvl w:val="0"/>
          <w:numId w:val="2"/>
        </w:numPr>
        <w:spacing w:after="90"/>
      </w:pPr>
      <w:r>
        <w:rPr>
          <w:rFonts w:ascii="Calibri" w:cs="Calibri" w:eastAsia="Calibri" w:hAnsi="Calibri"/>
          <w:color w:val="262626"/>
          <w:sz w:val="22"/>
          <w:szCs w:val="22"/>
        </w:rPr>
        <w:t xml:space="preserve">Precision / Recall: 0.68 / 0.61 on the minority (attrition = Yes) class</w:t>
      </w:r>
    </w:p>
    <w:p>
      <w:pPr>
        <w:spacing w:after="160" w:line="276"/>
      </w:pPr>
      <w:r>
        <w:rPr>
          <w:rFonts w:ascii="Calibri" w:cs="Calibri" w:eastAsia="Calibri" w:hAnsi="Calibri"/>
          <w:color w:val="262626"/>
          <w:sz w:val="22"/>
          <w:szCs w:val="22"/>
        </w:rPr>
        <w:t xml:space="preserve">Residual and assumption checks (linearity of the logit, absence of severe multicollinearity via VIF) did not reveal material violations, supporting the reliability of the coefficient estimates.</w:t>
      </w:r>
    </w:p>
    <w:p>
      <w:pPr>
        <w:pStyle w:val="Heading1"/>
        <w:pBdr>
          <w:bottom w:val="single" w:color="2E74B5" w:sz="6" w:space="4"/>
        </w:pBdr>
        <w:spacing w:after="200" w:before="400"/>
      </w:pPr>
      <w:r>
        <w:rPr>
          <w:rFonts w:ascii="Calibri" w:cs="Calibri" w:eastAsia="Calibri" w:hAnsi="Calibri"/>
          <w:b/>
          <w:bCs/>
          <w:color w:val="1F3864"/>
          <w:sz w:val="30"/>
          <w:szCs w:val="30"/>
        </w:rPr>
        <w:t xml:space="preserve">7. Key Findings</w:t>
      </w:r>
    </w:p>
    <w:p>
      <w:pPr>
        <w:pStyle w:val="ListParagraph"/>
        <w:numPr>
          <w:ilvl w:val="0"/>
          <w:numId w:val="2"/>
        </w:numPr>
        <w:spacing w:after="90"/>
      </w:pPr>
      <w:r>
        <w:rPr>
          <w:rFonts w:ascii="Calibri" w:cs="Calibri" w:eastAsia="Calibri" w:hAnsi="Calibri"/>
          <w:color w:val="262626"/>
          <w:sz w:val="22"/>
          <w:szCs w:val="22"/>
        </w:rPr>
        <w:t xml:space="preserve">Promotion stagnation is the leading driver: employees who go longer without advancement face substantially higher attrition odds, independent of tenure.</w:t>
      </w:r>
    </w:p>
    <w:p>
      <w:pPr>
        <w:pStyle w:val="ListParagraph"/>
        <w:numPr>
          <w:ilvl w:val="0"/>
          <w:numId w:val="2"/>
        </w:numPr>
        <w:spacing w:after="90"/>
      </w:pPr>
      <w:r>
        <w:rPr>
          <w:rFonts w:ascii="Calibri" w:cs="Calibri" w:eastAsia="Calibri" w:hAnsi="Calibri"/>
          <w:color w:val="262626"/>
          <w:sz w:val="22"/>
          <w:szCs w:val="22"/>
        </w:rPr>
        <w:t xml:space="preserve">Engagement compounds risk: low job satisfaction combined with long promotion gaps produces the highest-risk employee segment.</w:t>
      </w:r>
    </w:p>
    <w:p>
      <w:pPr>
        <w:pStyle w:val="ListParagraph"/>
        <w:numPr>
          <w:ilvl w:val="0"/>
          <w:numId w:val="2"/>
        </w:numPr>
        <w:spacing w:after="90"/>
      </w:pPr>
      <w:r>
        <w:rPr>
          <w:rFonts w:ascii="Calibri" w:cs="Calibri" w:eastAsia="Calibri" w:hAnsi="Calibri"/>
          <w:color w:val="262626"/>
          <w:sz w:val="22"/>
          <w:szCs w:val="22"/>
        </w:rPr>
        <w:t xml:space="preserve">Training is protective: employees receiving more frequent training show measurably lower attrition, even after controlling for tenure and role.</w:t>
      </w:r>
    </w:p>
    <w:p>
      <w:pPr>
        <w:pStyle w:val="ListParagraph"/>
        <w:numPr>
          <w:ilvl w:val="0"/>
          <w:numId w:val="2"/>
        </w:numPr>
        <w:spacing w:after="90"/>
      </w:pPr>
      <w:r>
        <w:rPr>
          <w:rFonts w:ascii="Calibri" w:cs="Calibri" w:eastAsia="Calibri" w:hAnsi="Calibri"/>
          <w:color w:val="262626"/>
          <w:sz w:val="22"/>
          <w:szCs w:val="22"/>
        </w:rPr>
        <w:t xml:space="preserve">Attrition is concentrated: Sales and Customer Support roles, and the 2–5 year tenure band, account for a disproportionate share of departures.</w:t>
      </w:r>
    </w:p>
    <w:p>
      <w:pPr>
        <w:pStyle w:val="ListParagraph"/>
        <w:numPr>
          <w:ilvl w:val="0"/>
          <w:numId w:val="2"/>
        </w:numPr>
        <w:spacing w:after="90"/>
      </w:pPr>
      <w:r>
        <w:rPr>
          <w:rFonts w:ascii="Calibri" w:cs="Calibri" w:eastAsia="Calibri" w:hAnsi="Calibri"/>
          <w:color w:val="262626"/>
          <w:sz w:val="22"/>
          <w:szCs w:val="22"/>
        </w:rPr>
        <w:t xml:space="preserve">Demographic factors are not primary drivers: gender showed no statistically significant relationship with attrition.</w:t>
      </w:r>
    </w:p>
    <w:p>
      <w:pPr>
        <w:pStyle w:val="Heading1"/>
        <w:pBdr>
          <w:bottom w:val="single" w:color="2E74B5" w:sz="6" w:space="4"/>
        </w:pBdr>
        <w:spacing w:after="200" w:before="400"/>
      </w:pPr>
      <w:r>
        <w:rPr>
          <w:rFonts w:ascii="Calibri" w:cs="Calibri" w:eastAsia="Calibri" w:hAnsi="Calibri"/>
          <w:b/>
          <w:bCs/>
          <w:color w:val="1F3864"/>
          <w:sz w:val="30"/>
          <w:szCs w:val="30"/>
        </w:rPr>
        <w:t xml:space="preserve">8. Business Recommendations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215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c>
          <w:tcPr>
            <w:tcW w:type="dxa" w:w="58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Recommendation</w:t>
            </w:r>
          </w:p>
        </w:tc>
        <w:tc>
          <w:tcPr>
            <w:tcW w:type="dxa" w:w="21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Target Segment</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High</w:t>
            </w:r>
          </w:p>
        </w:tc>
        <w:tc>
          <w:tcPr>
            <w:tcW w:type="dxa" w:w="5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Introduce structured promotion review checkpoints at 18–24 month intervals</w:t>
            </w:r>
          </w:p>
        </w:tc>
        <w:tc>
          <w:tcPr>
            <w:tcW w:type="dxa" w:w="215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All roles, tenure 2+ yrs</w:t>
            </w:r>
          </w:p>
        </w:tc>
      </w:tr>
      <w:tr>
        <w:tc>
          <w:tcPr>
            <w:tcW w:type="dxa" w:w="140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High</w:t>
            </w:r>
          </w:p>
        </w:tc>
        <w:tc>
          <w:tcPr>
            <w:tcW w:type="dxa" w:w="580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Increase training cadence for Sales and Customer Support teams</w:t>
            </w:r>
          </w:p>
        </w:tc>
        <w:tc>
          <w:tcPr>
            <w:tcW w:type="dxa" w:w="215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Sales, Customer Support</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Medium</w:t>
            </w:r>
          </w:p>
        </w:tc>
        <w:tc>
          <w:tcPr>
            <w:tcW w:type="dxa" w:w="5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Deploy a risk-scoring dashboard using the model to flag employees for manager check-ins</w:t>
            </w:r>
          </w:p>
        </w:tc>
        <w:tc>
          <w:tcPr>
            <w:tcW w:type="dxa" w:w="215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HR Business Partners</w:t>
            </w:r>
          </w:p>
        </w:tc>
      </w:tr>
      <w:tr>
        <w:tc>
          <w:tcPr>
            <w:tcW w:type="dxa" w:w="140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Medium</w:t>
            </w:r>
          </w:p>
        </w:tc>
        <w:tc>
          <w:tcPr>
            <w:tcW w:type="dxa" w:w="580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Launch a satisfaction pulse-survey for employees in the 2–5 year tenure band</w:t>
            </w:r>
          </w:p>
        </w:tc>
        <w:tc>
          <w:tcPr>
            <w:tcW w:type="dxa" w:w="2150"/>
            <w:shd w:fill="DCE6F1" w:val="clear"/>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Mid-tenure employees</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Lower</w:t>
            </w:r>
          </w:p>
        </w:tc>
        <w:tc>
          <w:tcPr>
            <w:tcW w:type="dxa" w:w="580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Review compensation bands where salary appears misaligned with tenure/role</w:t>
            </w:r>
          </w:p>
        </w:tc>
        <w:tc>
          <w:tcPr>
            <w:tcW w:type="dxa" w:w="2150"/>
            <w:tcMar>
              <w:top w:type="dxa" w:w="80"/>
              <w:left w:type="dxa" w:w="100"/>
              <w:bottom w:type="dxa" w:w="80"/>
              <w:right w:type="dxa" w:w="100"/>
            </w:tcMar>
            <w:vAlign w:val="center"/>
          </w:tcPr>
          <w:p>
            <w:r>
              <w:rPr>
                <w:rFonts w:ascii="Calibri" w:cs="Calibri" w:eastAsia="Calibri" w:hAnsi="Calibri"/>
                <w:b w:val="false"/>
                <w:bCs w:val="false"/>
                <w:color w:val="262626"/>
                <w:sz w:val="20"/>
                <w:szCs w:val="20"/>
              </w:rPr>
              <w:t xml:space="preserve">Finance &amp; Compensation</w:t>
            </w:r>
          </w:p>
        </w:tc>
      </w:tr>
    </w:tbl>
    <w:p>
      <w:pPr>
        <w:spacing w:after="240" w:before="60"/>
      </w:pPr>
      <w:r>
        <w:rPr>
          <w:rFonts w:ascii="Calibri" w:cs="Calibri" w:eastAsia="Calibri" w:hAnsi="Calibri"/>
          <w:i/>
          <w:iCs/>
          <w:color w:val="595959"/>
          <w:sz w:val="18"/>
          <w:szCs w:val="18"/>
        </w:rPr>
        <w:t xml:space="preserve">Table 5. Prioritised retention recommendations by segment.</w:t>
      </w:r>
    </w:p>
    <w:p>
      <w:pPr>
        <w:spacing w:after="160" w:line="276"/>
      </w:pPr>
      <w:r>
        <w:rPr>
          <w:rFonts w:ascii="Calibri" w:cs="Calibri" w:eastAsia="Calibri" w:hAnsi="Calibri"/>
          <w:color w:val="262626"/>
          <w:sz w:val="22"/>
          <w:szCs w:val="22"/>
        </w:rPr>
        <w:t xml:space="preserve">These recommendations are designed to be implemented incrementally, starting with the promotion-pathway review, which the model identifies as addressing the single largest driver of attrition risk.</w:t>
      </w:r>
    </w:p>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9. Limitations &amp; Future Work</w:t>
      </w:r>
    </w:p>
    <w:p>
      <w:pPr>
        <w:pStyle w:val="ListParagraph"/>
        <w:numPr>
          <w:ilvl w:val="0"/>
          <w:numId w:val="2"/>
        </w:numPr>
        <w:spacing w:after="90"/>
      </w:pPr>
      <w:r>
        <w:rPr>
          <w:rFonts w:ascii="Calibri" w:cs="Calibri" w:eastAsia="Calibri" w:hAnsi="Calibri"/>
          <w:color w:val="262626"/>
          <w:sz w:val="22"/>
          <w:szCs w:val="22"/>
        </w:rPr>
        <w:t xml:space="preserve">Time-series depth: current features are point-in-time; incorporating engagement trends and performance-review history over time would sharpen risk detection.</w:t>
      </w:r>
    </w:p>
    <w:p>
      <w:pPr>
        <w:pStyle w:val="ListParagraph"/>
        <w:numPr>
          <w:ilvl w:val="0"/>
          <w:numId w:val="2"/>
        </w:numPr>
        <w:spacing w:after="90"/>
      </w:pPr>
      <w:r>
        <w:rPr>
          <w:rFonts w:ascii="Calibri" w:cs="Calibri" w:eastAsia="Calibri" w:hAnsi="Calibri"/>
          <w:color w:val="262626"/>
          <w:sz w:val="22"/>
          <w:szCs w:val="22"/>
        </w:rPr>
        <w:t xml:space="preserve">Survival analysis: a time-to-attrition model would estimate when an employee is likely to leave, not just whether, enabling better-timed interventions.</w:t>
      </w:r>
    </w:p>
    <w:p>
      <w:pPr>
        <w:pStyle w:val="ListParagraph"/>
        <w:numPr>
          <w:ilvl w:val="0"/>
          <w:numId w:val="2"/>
        </w:numPr>
        <w:spacing w:after="90"/>
      </w:pPr>
      <w:r>
        <w:rPr>
          <w:rFonts w:ascii="Calibri" w:cs="Calibri" w:eastAsia="Calibri" w:hAnsi="Calibri"/>
          <w:color w:val="262626"/>
          <w:sz w:val="22"/>
          <w:szCs w:val="22"/>
        </w:rPr>
        <w:t xml:space="preserve">Explainability: adding SHAP-based explanations would let HR see which factors drove an individual employee's risk score, supporting transparent, defensible action.</w:t>
      </w:r>
    </w:p>
    <w:p>
      <w:pPr>
        <w:pStyle w:val="ListParagraph"/>
        <w:numPr>
          <w:ilvl w:val="0"/>
          <w:numId w:val="2"/>
        </w:numPr>
        <w:spacing w:after="90"/>
      </w:pPr>
      <w:r>
        <w:rPr>
          <w:rFonts w:ascii="Calibri" w:cs="Calibri" w:eastAsia="Calibri" w:hAnsi="Calibri"/>
          <w:color w:val="262626"/>
          <w:sz w:val="22"/>
          <w:szCs w:val="22"/>
        </w:rPr>
        <w:t xml:space="preserve">External validation: results should be validated on a holdout period or a second business unit before being used for high-stakes decisions.</w:t>
      </w:r>
    </w:p>
    <w:p>
      <w:pPr>
        <w:pStyle w:val="ListParagraph"/>
        <w:numPr>
          <w:ilvl w:val="0"/>
          <w:numId w:val="2"/>
        </w:numPr>
        <w:spacing w:after="90"/>
      </w:pPr>
      <w:r>
        <w:rPr>
          <w:rFonts w:ascii="Calibri" w:cs="Calibri" w:eastAsia="Calibri" w:hAnsi="Calibri"/>
          <w:color w:val="262626"/>
          <w:sz w:val="22"/>
          <w:szCs w:val="22"/>
        </w:rPr>
        <w:t xml:space="preserve">Deployment: an interactive dashboard (Power BI, Tableau, or Streamlit) would let HR teams monitor risk by segment on an ongoing basis.</w:t>
      </w:r>
    </w:p>
    <w:p>
      <w:pPr>
        <w:pStyle w:val="Heading1"/>
        <w:pBdr>
          <w:bottom w:val="single" w:color="2E74B5" w:sz="6" w:space="4"/>
        </w:pBdr>
        <w:spacing w:after="200" w:before="400"/>
      </w:pPr>
      <w:r>
        <w:rPr>
          <w:rFonts w:ascii="Calibri" w:cs="Calibri" w:eastAsia="Calibri" w:hAnsi="Calibri"/>
          <w:b/>
          <w:bCs/>
          <w:color w:val="1F3864"/>
          <w:sz w:val="30"/>
          <w:szCs w:val="30"/>
        </w:rPr>
        <w:t xml:space="preserve">10. Appendix: Technical Reference</w:t>
      </w:r>
    </w:p>
    <w:p>
      <w:pPr>
        <w:pStyle w:val="Heading2"/>
        <w:spacing w:after="120" w:before="300"/>
      </w:pPr>
      <w:r>
        <w:rPr>
          <w:rFonts w:ascii="Calibri" w:cs="Calibri" w:eastAsia="Calibri" w:hAnsi="Calibri"/>
          <w:b/>
          <w:bCs/>
          <w:color w:val="1F3864"/>
          <w:sz w:val="24"/>
          <w:szCs w:val="24"/>
        </w:rPr>
        <w:t xml:space="preserve">10.1 Tech Stack</w:t>
      </w:r>
    </w:p>
    <w:p>
      <w:pPr>
        <w:spacing w:after="160" w:line="276"/>
      </w:pPr>
      <w:r>
        <w:rPr>
          <w:rFonts w:ascii="Calibri" w:cs="Calibri" w:eastAsia="Calibri" w:hAnsi="Calibri"/>
          <w:color w:val="262626"/>
          <w:sz w:val="22"/>
          <w:szCs w:val="22"/>
        </w:rPr>
        <w:t xml:space="preserve">Python (pandas, numpy, matplotlib, seaborn, scipy, statsmodels) within a Jupyter Notebook / Google Colab environment.</w:t>
      </w:r>
    </w:p>
    <w:p>
      <w:pPr>
        <w:pStyle w:val="Heading2"/>
        <w:spacing w:after="120" w:before="300"/>
      </w:pPr>
      <w:r>
        <w:rPr>
          <w:rFonts w:ascii="Calibri" w:cs="Calibri" w:eastAsia="Calibri" w:hAnsi="Calibri"/>
          <w:b/>
          <w:bCs/>
          <w:color w:val="1F3864"/>
          <w:sz w:val="24"/>
          <w:szCs w:val="24"/>
        </w:rPr>
        <w:t xml:space="preserve">10.2 Repository Structure</w:t>
      </w:r>
    </w:p>
    <w:p>
      <w:pPr>
        <w:spacing w:after="160" w:line="276"/>
      </w:pPr>
      <w:r>
        <w:rPr>
          <w:rFonts w:ascii="Calibri" w:cs="Calibri" w:eastAsia="Calibri" w:hAnsi="Calibri"/>
          <w:i/>
          <w:iCs/>
          <w:color w:val="262626"/>
          <w:sz w:val="22"/>
          <w:szCs w:val="22"/>
        </w:rPr>
        <w:t xml:space="preserve">Employee-Attrition-Analysis/data/{raw, processed}, /notebooks/attrition_analysis.ipynb, /src/{preprocess.py, features.py, model.py, interpret.py}, README.md, requirements.txt.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Employee Attrition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2026-08-21T06:54:36.640Z</dcterms:created>
  <dcterms:modified xsi:type="dcterms:W3CDTF">2026-08-21T06:54:36.654Z</dcterms:modified>
</cp:coreProperties>
</file>

<file path=docProps/custom.xml><?xml version="1.0" encoding="utf-8"?>
<Properties xmlns="http://schemas.openxmlformats.org/officeDocument/2006/custom-properties" xmlns:vt="http://schemas.openxmlformats.org/officeDocument/2006/docPropsVTypes"/>
</file>