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8q2yooyh2ww" w:id="0"/>
      <w:bookmarkEnd w:id="0"/>
      <w:r w:rsidDel="00000000" w:rsidR="00000000" w:rsidRPr="00000000">
        <w:rPr>
          <w:rtl w:val="0"/>
        </w:rPr>
        <w:t xml:space="preserve">Mobile Charger-Reference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Main.pdf: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used main.pdf as a reference to building the circuit on PCB.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connections are made with the reference of main.pdf.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 suggestions: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also took suggestions from other teams on the soldering work on the PCB.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AI: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We learned about the functions of components that we used in the circuit.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also learned about the mechanism happening in the circuit.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1b4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338ca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7415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1b4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