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194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60120" cy="2721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272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5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40480" cy="60916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6091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4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</w:pPr>
          </w:p>
        </w:tc>
      </w:tr>
    </w:tbl>
    <w:p/>
    <w:tbl/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9355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EEE_CS_CIS_header_logo_cropp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935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b/>
          <w:color w:val="005391"/>
          <w:sz w:val="30"/>
        </w:rPr>
        <w:t>IEEE CS × IEEE CIS HACKATHON</w:t>
      </w:r>
    </w:p>
    <w:p>
      <w:pPr>
        <w:spacing w:after="20"/>
        <w:jc w:val="center"/>
      </w:pPr>
      <w:r>
        <w:rPr>
          <w:b/>
          <w:sz w:val="23"/>
        </w:rPr>
        <w:t>TWO-REVIEW RULEBOOK</w:t>
      </w:r>
    </w:p>
    <w:p>
      <w:pPr>
        <w:spacing w:after="100"/>
        <w:jc w:val="center"/>
      </w:pPr>
      <w:r>
        <w:rPr>
          <w:color w:val="5F5F5F"/>
          <w:sz w:val="17"/>
        </w:rPr>
        <w:t>Amrita Vishwa Vidyapeetham, Chennai  •  14 October 2026  •  8:30 AM–4:30 PM</w:t>
      </w:r>
    </w:p>
    <w:p>
      <w:pPr>
        <w:spacing w:before="100" w:after="40"/>
      </w:pPr>
      <w:r>
        <w:rPr>
          <w:b/>
          <w:color w:val="005391"/>
          <w:sz w:val="21"/>
        </w:rPr>
        <w:t>1. AT A GLANCE</w:t>
      </w:r>
    </w:p>
    <w:p>
      <w:pPr>
        <w:pStyle w:val="ListBullet"/>
        <w:spacing w:before="0" w:after="30" w:line="240" w:lineRule="auto"/>
        <w:ind w:left="259" w:hanging="173"/>
      </w:pPr>
      <w:r>
        <w:rPr>
          <w:b/>
        </w:rPr>
        <w:t xml:space="preserve">Format: </w:t>
      </w:r>
      <w:r>
        <w:t>Offline, one-day hackathon.</w:t>
      </w:r>
    </w:p>
    <w:p>
      <w:pPr>
        <w:pStyle w:val="ListBullet"/>
        <w:spacing w:before="0" w:after="30" w:line="240" w:lineRule="auto"/>
        <w:ind w:left="259" w:hanging="173"/>
      </w:pPr>
      <w:r>
        <w:rPr>
          <w:b/>
        </w:rPr>
        <w:t xml:space="preserve">Team size: </w:t>
      </w:r>
      <w:r>
        <w:t>2–4 members.</w:t>
      </w:r>
    </w:p>
    <w:p>
      <w:pPr>
        <w:pStyle w:val="ListBullet"/>
        <w:spacing w:before="0" w:after="30" w:line="240" w:lineRule="auto"/>
        <w:ind w:left="259" w:hanging="173"/>
      </w:pPr>
      <w:r>
        <w:rPr>
          <w:b/>
        </w:rPr>
        <w:t xml:space="preserve">Expected participation: </w:t>
      </w:r>
      <w:r>
        <w:t>Minimum 25 teams.</w:t>
      </w:r>
    </w:p>
    <w:p>
      <w:pPr>
        <w:pStyle w:val="ListBullet"/>
        <w:spacing w:before="0" w:after="30" w:line="240" w:lineRule="auto"/>
        <w:ind w:left="259" w:hanging="173"/>
      </w:pPr>
      <w:r>
        <w:rPr>
          <w:b/>
        </w:rPr>
        <w:t xml:space="preserve">IEEE membership: </w:t>
      </w:r>
      <w:r>
        <w:t>Not required unless stated in the final registration notice.</w:t>
      </w:r>
    </w:p>
    <w:p>
      <w:pPr>
        <w:pStyle w:val="ListBullet"/>
        <w:spacing w:before="0" w:after="30" w:line="240" w:lineRule="auto"/>
        <w:ind w:left="259" w:hanging="173"/>
      </w:pPr>
      <w:r>
        <w:rPr>
          <w:b/>
        </w:rPr>
        <w:t xml:space="preserve">Registration: </w:t>
      </w:r>
      <w:r>
        <w:t>Team formation and registration must be completed before event day.</w:t>
      </w:r>
    </w:p>
    <w:p>
      <w:pPr>
        <w:pStyle w:val="ListBullet"/>
        <w:spacing w:before="0" w:after="30" w:line="240" w:lineRule="auto"/>
        <w:ind w:left="259" w:hanging="173"/>
      </w:pPr>
      <w:r>
        <w:rPr>
          <w:b/>
        </w:rPr>
        <w:t xml:space="preserve">Problem statements: </w:t>
      </w:r>
      <w:r>
        <w:t>Released at the opening.</w:t>
      </w:r>
    </w:p>
    <w:p>
      <w:pPr>
        <w:spacing w:before="100" w:after="40"/>
      </w:pPr>
      <w:r>
        <w:rPr>
          <w:b/>
          <w:color w:val="005391"/>
          <w:sz w:val="21"/>
        </w:rPr>
        <w:t>2. BUILD REQUIREMENT</w:t>
      </w:r>
    </w:p>
    <w:p>
      <w:pPr>
        <w:pStyle w:val="ListBullet"/>
        <w:spacing w:before="0" w:after="30" w:line="240" w:lineRule="auto"/>
        <w:ind w:left="259" w:hanging="173"/>
      </w:pPr>
      <w:r>
        <w:rPr>
          <w:b/>
        </w:rPr>
        <w:t xml:space="preserve">Required: </w:t>
      </w:r>
      <w:r>
        <w:t>A functional full-stack prototype with a meaningful AI / Computational Intelligence component.</w:t>
      </w:r>
    </w:p>
    <w:p>
      <w:pPr>
        <w:pStyle w:val="ListBullet"/>
        <w:spacing w:before="0" w:after="30" w:line="240" w:lineRule="auto"/>
        <w:ind w:left="259" w:hanging="173"/>
      </w:pPr>
      <w:r>
        <w:rPr>
          <w:b/>
        </w:rPr>
        <w:t xml:space="preserve">Integration: </w:t>
      </w:r>
      <w:r>
        <w:t>Frontend + backend + database/API + AI/CI workflow should work together.</w:t>
      </w:r>
    </w:p>
    <w:p>
      <w:pPr>
        <w:pStyle w:val="ListBullet"/>
        <w:spacing w:before="0" w:after="30" w:line="240" w:lineRule="auto"/>
        <w:ind w:left="259" w:hanging="173"/>
      </w:pPr>
      <w:r>
        <w:rPr>
          <w:b/>
        </w:rPr>
        <w:t xml:space="preserve">Parallel work: </w:t>
      </w:r>
      <w:r>
        <w:t>AI and full-stack development may happen in parallel.</w:t>
      </w:r>
    </w:p>
    <w:p>
      <w:pPr>
        <w:pStyle w:val="ListBullet"/>
        <w:spacing w:before="0" w:after="30" w:line="240" w:lineRule="auto"/>
        <w:ind w:left="259" w:hanging="173"/>
      </w:pPr>
      <w:r>
        <w:rPr>
          <w:b/>
        </w:rPr>
        <w:t xml:space="preserve">Resources: </w:t>
      </w:r>
      <w:r>
        <w:t>Pretrained models, APIs, public datasets, frameworks and model-building resources are allowed.</w:t>
      </w:r>
    </w:p>
    <w:p>
      <w:pPr>
        <w:pStyle w:val="ListBullet"/>
        <w:spacing w:before="0" w:after="30" w:line="240" w:lineRule="auto"/>
        <w:ind w:left="259" w:hanging="173"/>
      </w:pPr>
      <w:r>
        <w:rPr>
          <w:b/>
        </w:rPr>
        <w:t xml:space="preserve">Scope: </w:t>
      </w:r>
      <w:r>
        <w:t>A working prototype is sufficient; production-scale engineering is not required.</w:t>
      </w:r>
    </w:p>
    <w:p>
      <w:pPr>
        <w:spacing w:before="100" w:after="40"/>
      </w:pPr>
      <w:r>
        <w:rPr>
          <w:b/>
          <w:color w:val="005391"/>
          <w:sz w:val="21"/>
        </w:rPr>
        <w:t>3. AI / DEVELOPMENT TOOLS</w:t>
      </w:r>
    </w:p>
    <w:p>
      <w:pPr>
        <w:pStyle w:val="ListBullet"/>
        <w:spacing w:before="0" w:after="30" w:line="240" w:lineRule="auto"/>
        <w:ind w:left="259" w:hanging="173"/>
      </w:pPr>
      <w:r>
        <w:rPr>
          <w:b/>
        </w:rPr>
        <w:t xml:space="preserve">Allowed: </w:t>
      </w:r>
      <w:r>
        <w:t>ChatGPT, Gemini, Grok, GitHub Copilot, AI coding agents, Lovable, Bolt, Hugging Face, TensorFlow, PyTorch, scikit-learn, XGBoost, model APIs, vector databases, public datasets and equivalent resources.</w:t>
      </w:r>
    </w:p>
    <w:p>
      <w:pPr>
        <w:pStyle w:val="ListBullet"/>
        <w:spacing w:before="0" w:after="30" w:line="240" w:lineRule="auto"/>
        <w:ind w:left="259" w:hanging="173"/>
      </w:pPr>
      <w:r>
        <w:rPr>
          <w:b/>
        </w:rPr>
        <w:t xml:space="preserve">Advanced / premium models: </w:t>
      </w:r>
      <w:r>
        <w:t>Allowed unless specifically placed on the Organizing Committee's restricted list.</w:t>
      </w:r>
    </w:p>
    <w:p>
      <w:pPr>
        <w:pStyle w:val="ListBullet"/>
        <w:spacing w:before="0" w:after="30" w:line="240" w:lineRule="auto"/>
        <w:ind w:left="259" w:hanging="173"/>
      </w:pPr>
      <w:r>
        <w:rPr>
          <w:b/>
        </w:rPr>
        <w:t xml:space="preserve">AI-generated code: </w:t>
      </w:r>
      <w:r>
        <w:t>Must be understood, reviewed and defensible by the team.</w:t>
      </w:r>
    </w:p>
    <w:p>
      <w:pPr>
        <w:pStyle w:val="ListBullet"/>
        <w:spacing w:before="0" w:after="30" w:line="240" w:lineRule="auto"/>
        <w:ind w:left="259" w:hanging="173"/>
      </w:pPr>
      <w:r>
        <w:rPr>
          <w:b/>
        </w:rPr>
        <w:t xml:space="preserve">Not allowed: </w:t>
      </w:r>
      <w:r>
        <w:t>Complete pre-built solutions, previous hackathon projects submitted as new work, plagiarism, stolen credentials/data or deliberate copying.</w:t>
      </w:r>
    </w:p>
    <w:p>
      <w:pPr>
        <w:spacing w:before="100" w:after="40"/>
      </w:pPr>
      <w:r>
        <w:rPr>
          <w:b/>
          <w:color w:val="005391"/>
          <w:sz w:val="21"/>
        </w:rPr>
        <w:t>4. TEAM &amp; RESOURCE RULES</w:t>
      </w:r>
    </w:p>
    <w:p>
      <w:pPr>
        <w:pStyle w:val="ListBullet"/>
        <w:spacing w:before="0" w:after="30" w:line="240" w:lineRule="auto"/>
        <w:ind w:left="259" w:hanging="173"/>
      </w:pPr>
      <w:r>
        <w:rPr>
          <w:b/>
        </w:rPr>
        <w:t xml:space="preserve">Templates / libraries / frameworks: </w:t>
      </w:r>
      <w:r>
        <w:t>Allowed.</w:t>
      </w:r>
    </w:p>
    <w:p>
      <w:pPr>
        <w:pStyle w:val="ListBullet"/>
        <w:spacing w:before="0" w:after="30" w:line="240" w:lineRule="auto"/>
        <w:ind w:left="259" w:hanging="173"/>
      </w:pPr>
      <w:r>
        <w:rPr>
          <w:b/>
        </w:rPr>
        <w:t xml:space="preserve">Existing code: </w:t>
      </w:r>
      <w:r>
        <w:t>General-purpose components are allowed; a complete pre-developed solution for the chosen problem is not.</w:t>
      </w:r>
    </w:p>
    <w:p>
      <w:pPr>
        <w:pStyle w:val="ListBullet"/>
        <w:spacing w:before="0" w:after="30" w:line="240" w:lineRule="auto"/>
        <w:ind w:left="259" w:hanging="173"/>
      </w:pPr>
      <w:r>
        <w:rPr>
          <w:b/>
        </w:rPr>
        <w:t xml:space="preserve">Licensing: </w:t>
      </w:r>
      <w:r>
        <w:t>Teams are responsible for permitted use of third-party code, datasets, APIs, models and assets.</w:t>
      </w:r>
    </w:p>
    <w:p>
      <w:pPr>
        <w:pStyle w:val="ListBullet"/>
        <w:spacing w:before="0" w:after="30" w:line="240" w:lineRule="auto"/>
        <w:ind w:left="259" w:hanging="173"/>
      </w:pPr>
      <w:r>
        <w:rPr>
          <w:b/>
        </w:rPr>
        <w:t xml:space="preserve">Day scholars: </w:t>
      </w:r>
      <w:r>
        <w:t>If leaving at or before 3:30 PM, at least one hostel/residential student from the team must remain through final evaluation and represent the team.</w:t>
      </w:r>
    </w:p>
    <w:p>
      <w:pPr>
        <w:pStyle w:val="ListBullet"/>
        <w:spacing w:before="0" w:after="30" w:line="240" w:lineRule="auto"/>
        <w:ind w:left="259" w:hanging="173"/>
      </w:pPr>
      <w:r>
        <w:rPr>
          <w:b/>
        </w:rPr>
        <w:t xml:space="preserve">Breaks: </w:t>
      </w:r>
      <w:r>
        <w:t>Teams may continue working during tea/lunch breaks if permitted by the venue/Organizing Committee.</w:t>
      </w:r>
    </w:p>
    <w:p>
      <w:pPr>
        <w:spacing w:before="100" w:after="40"/>
      </w:pPr>
      <w:r>
        <w:rPr>
          <w:b/>
          <w:color w:val="005391"/>
          <w:sz w:val="21"/>
        </w:rPr>
        <w:t>5. SUBMISSION</w:t>
      </w:r>
    </w:p>
    <w:p>
      <w:pPr>
        <w:pStyle w:val="ListBullet"/>
        <w:spacing w:before="0" w:after="30" w:line="240" w:lineRule="auto"/>
        <w:ind w:left="259" w:hanging="173"/>
      </w:pPr>
      <w:r>
        <w:rPr>
          <w:b/>
        </w:rPr>
        <w:t xml:space="preserve">Required: </w:t>
      </w:r>
      <w:r>
        <w:t>GitHub repository with source code and a clear README.</w:t>
      </w:r>
    </w:p>
    <w:p>
      <w:pPr>
        <w:pStyle w:val="ListBullet"/>
        <w:spacing w:before="0" w:after="30" w:line="240" w:lineRule="auto"/>
        <w:ind w:left="259" w:hanging="173"/>
      </w:pPr>
      <w:r>
        <w:rPr>
          <w:b/>
        </w:rPr>
        <w:t xml:space="preserve">Deployment: </w:t>
      </w:r>
      <w:r>
        <w:t>Working deployment link where available; localhost/demo setup is acceptable when deployment is impractical.</w:t>
      </w:r>
    </w:p>
    <w:p>
      <w:pPr>
        <w:pStyle w:val="ListBullet"/>
        <w:spacing w:before="0" w:after="30" w:line="240" w:lineRule="auto"/>
        <w:ind w:left="259" w:hanging="173"/>
      </w:pPr>
      <w:r>
        <w:rPr>
          <w:b/>
        </w:rPr>
        <w:t xml:space="preserve">Deadline: </w:t>
      </w:r>
      <w:r>
        <w:t>Submit before the final review begins.</w:t>
      </w:r>
    </w:p>
    <w:p>
      <w:pPr>
        <w:pStyle w:val="ListBullet"/>
        <w:spacing w:before="0" w:after="30" w:line="240" w:lineRule="auto"/>
        <w:ind w:left="259" w:hanging="173"/>
      </w:pPr>
      <w:r>
        <w:rPr>
          <w:b/>
        </w:rPr>
        <w:t xml:space="preserve">Evaluation readiness: </w:t>
      </w:r>
      <w:r>
        <w:t>All members should be able to explain the architecture, AI/CI component, integration and key implementation choices.</w:t>
      </w:r>
    </w:p>
    <w:p>
      <w:pPr>
        <w:spacing w:before="100" w:after="40"/>
      </w:pPr>
      <w:r>
        <w:rPr>
          <w:b/>
          <w:color w:val="005391"/>
          <w:sz w:val="21"/>
        </w:rPr>
        <w:t>6. EVALUATION</w:t>
      </w:r>
    </w:p>
    <w:p>
      <w:pPr>
        <w:pStyle w:val="ListBullet"/>
        <w:spacing w:before="0" w:after="30" w:line="240" w:lineRule="auto"/>
        <w:ind w:left="259" w:hanging="173"/>
      </w:pPr>
      <w:r>
        <w:rPr>
          <w:b/>
        </w:rPr>
        <w:t xml:space="preserve">No elimination: </w:t>
      </w:r>
      <w:r>
        <w:t>All teams proceed to the final review.</w:t>
      </w:r>
    </w:p>
    <w:p>
      <w:pPr>
        <w:spacing w:before="60" w:after="20"/>
      </w:pPr>
      <w:r>
        <w:rPr>
          <w:b/>
          <w:sz w:val="19"/>
        </w:rPr>
        <w:t>Midpoint Review — 30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AF2F8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Criterion</w:t>
            </w:r>
          </w:p>
        </w:tc>
        <w:tc>
          <w:tcPr>
            <w:tcW w:type="dxa" w:w="5227"/>
            <w:shd w:fill="EAF2F8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Marks</w:t>
            </w:r>
          </w:p>
        </w:tc>
      </w:tr>
      <w:tr>
        <w:tc>
          <w:tcPr>
            <w:tcW w:type="dxa" w:w="5227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Problem Understanding</w:t>
            </w:r>
          </w:p>
        </w:tc>
        <w:tc>
          <w:tcPr>
            <w:tcW w:type="dxa" w:w="5227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5</w:t>
            </w:r>
          </w:p>
        </w:tc>
      </w:tr>
      <w:tr>
        <w:tc>
          <w:tcPr>
            <w:tcW w:type="dxa" w:w="5227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Solution Architecture</w:t>
            </w:r>
          </w:p>
        </w:tc>
        <w:tc>
          <w:tcPr>
            <w:tcW w:type="dxa" w:w="5227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5</w:t>
            </w:r>
          </w:p>
        </w:tc>
      </w:tr>
      <w:tr>
        <w:tc>
          <w:tcPr>
            <w:tcW w:type="dxa" w:w="5227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AI / Computational Intelligence Approach</w:t>
            </w:r>
          </w:p>
        </w:tc>
        <w:tc>
          <w:tcPr>
            <w:tcW w:type="dxa" w:w="5227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10</w:t>
            </w:r>
          </w:p>
        </w:tc>
      </w:tr>
      <w:tr>
        <w:tc>
          <w:tcPr>
            <w:tcW w:type="dxa" w:w="5227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Prototype / Development Progress</w:t>
            </w:r>
          </w:p>
        </w:tc>
        <w:tc>
          <w:tcPr>
            <w:tcW w:type="dxa" w:w="5227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5</w:t>
            </w:r>
          </w:p>
        </w:tc>
      </w:tr>
      <w:tr>
        <w:tc>
          <w:tcPr>
            <w:tcW w:type="dxa" w:w="5227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Innovation &amp; Feasibility</w:t>
            </w:r>
          </w:p>
        </w:tc>
        <w:tc>
          <w:tcPr>
            <w:tcW w:type="dxa" w:w="5227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5</w:t>
            </w:r>
          </w:p>
        </w:tc>
      </w:tr>
    </w:tbl>
    <w:p>
      <w:pPr>
        <w:spacing w:before="60" w:after="20"/>
      </w:pPr>
      <w:r>
        <w:rPr>
          <w:b/>
          <w:sz w:val="19"/>
        </w:rPr>
        <w:t>Final Review — 60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AF2F8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Criterion</w:t>
            </w:r>
          </w:p>
        </w:tc>
        <w:tc>
          <w:tcPr>
            <w:tcW w:type="dxa" w:w="5227"/>
            <w:shd w:fill="EAF2F8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Marks</w:t>
            </w:r>
          </w:p>
        </w:tc>
      </w:tr>
      <w:tr>
        <w:tc>
          <w:tcPr>
            <w:tcW w:type="dxa" w:w="5227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Problem Understanding &amp; Relevance</w:t>
            </w:r>
          </w:p>
        </w:tc>
        <w:tc>
          <w:tcPr>
            <w:tcW w:type="dxa" w:w="5227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8</w:t>
            </w:r>
          </w:p>
        </w:tc>
      </w:tr>
      <w:tr>
        <w:tc>
          <w:tcPr>
            <w:tcW w:type="dxa" w:w="5227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AI / Computational Intelligence Component</w:t>
            </w:r>
          </w:p>
        </w:tc>
        <w:tc>
          <w:tcPr>
            <w:tcW w:type="dxa" w:w="5227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12</w:t>
            </w:r>
          </w:p>
        </w:tc>
      </w:tr>
      <w:tr>
        <w:tc>
          <w:tcPr>
            <w:tcW w:type="dxa" w:w="5227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Full-Stack Implementation</w:t>
            </w:r>
          </w:p>
        </w:tc>
        <w:tc>
          <w:tcPr>
            <w:tcW w:type="dxa" w:w="5227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14</w:t>
            </w:r>
          </w:p>
        </w:tc>
      </w:tr>
      <w:tr>
        <w:tc>
          <w:tcPr>
            <w:tcW w:type="dxa" w:w="5227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AI Model–Application Integration</w:t>
            </w:r>
          </w:p>
        </w:tc>
        <w:tc>
          <w:tcPr>
            <w:tcW w:type="dxa" w:w="5227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4</w:t>
            </w:r>
          </w:p>
        </w:tc>
      </w:tr>
      <w:tr>
        <w:tc>
          <w:tcPr>
            <w:tcW w:type="dxa" w:w="5227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Innovation &amp; Creativity</w:t>
            </w:r>
          </w:p>
        </w:tc>
        <w:tc>
          <w:tcPr>
            <w:tcW w:type="dxa" w:w="5227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7</w:t>
            </w:r>
          </w:p>
        </w:tc>
      </w:tr>
      <w:tr>
        <w:tc>
          <w:tcPr>
            <w:tcW w:type="dxa" w:w="5227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Functionality &amp; User Experience</w:t>
            </w:r>
          </w:p>
        </w:tc>
        <w:tc>
          <w:tcPr>
            <w:tcW w:type="dxa" w:w="5227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5</w:t>
            </w:r>
          </w:p>
        </w:tc>
      </w:tr>
      <w:tr>
        <w:tc>
          <w:tcPr>
            <w:tcW w:type="dxa" w:w="5227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Demo &amp; Presentation</w:t>
            </w:r>
          </w:p>
        </w:tc>
        <w:tc>
          <w:tcPr>
            <w:tcW w:type="dxa" w:w="5227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10</w:t>
            </w:r>
          </w:p>
        </w:tc>
      </w:tr>
    </w:tbl>
    <w:p>
      <w:pPr>
        <w:spacing w:before="100" w:after="40"/>
      </w:pPr>
      <w:r>
        <w:rPr>
          <w:b/>
          <w:color w:val="005391"/>
          <w:sz w:val="21"/>
        </w:rPr>
        <w:t>7. SCHEDULE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AF2F8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Time</w:t>
            </w:r>
          </w:p>
        </w:tc>
        <w:tc>
          <w:tcPr>
            <w:tcW w:type="dxa" w:w="5227"/>
            <w:shd w:fill="EAF2F8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Activity</w:t>
            </w:r>
          </w:p>
        </w:tc>
      </w:tr>
      <w:tr>
        <w:tc>
          <w:tcPr>
            <w:tcW w:type="dxa" w:w="5227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8:30–8:45</w:t>
            </w:r>
          </w:p>
        </w:tc>
        <w:tc>
          <w:tcPr>
            <w:tcW w:type="dxa" w:w="5227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Opening Ceremony &amp; Welcome</w:t>
            </w:r>
          </w:p>
        </w:tc>
      </w:tr>
      <w:tr>
        <w:tc>
          <w:tcPr>
            <w:tcW w:type="dxa" w:w="5227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8:45–9:00</w:t>
            </w:r>
          </w:p>
        </w:tc>
        <w:tc>
          <w:tcPr>
            <w:tcW w:type="dxa" w:w="5227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Briefing, Rules, Evaluation &amp; Problem-Statement Instructions</w:t>
            </w:r>
          </w:p>
        </w:tc>
      </w:tr>
      <w:tr>
        <w:tc>
          <w:tcPr>
            <w:tcW w:type="dxa" w:w="5227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9:00–9:30</w:t>
            </w:r>
          </w:p>
        </w:tc>
        <w:tc>
          <w:tcPr>
            <w:tcW w:type="dxa" w:w="5227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Round 1 — Technical Quiz (10)</w:t>
            </w:r>
          </w:p>
        </w:tc>
      </w:tr>
      <w:tr>
        <w:tc>
          <w:tcPr>
            <w:tcW w:type="dxa" w:w="5227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9:30–10:30</w:t>
            </w:r>
          </w:p>
        </w:tc>
        <w:tc>
          <w:tcPr>
            <w:tcW w:type="dxa" w:w="5227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Development / Problem Analysis / AI + Full-Stack Work</w:t>
            </w:r>
          </w:p>
        </w:tc>
      </w:tr>
      <w:tr>
        <w:tc>
          <w:tcPr>
            <w:tcW w:type="dxa" w:w="5227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10:30–10:45</w:t>
            </w:r>
          </w:p>
        </w:tc>
        <w:tc>
          <w:tcPr>
            <w:tcW w:type="dxa" w:w="5227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Tea Break</w:t>
            </w:r>
          </w:p>
        </w:tc>
      </w:tr>
      <w:tr>
        <w:tc>
          <w:tcPr>
            <w:tcW w:type="dxa" w:w="5227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10:45–12:00</w:t>
            </w:r>
          </w:p>
        </w:tc>
        <w:tc>
          <w:tcPr>
            <w:tcW w:type="dxa" w:w="5227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Round 2 — Midpoint Review (30)</w:t>
            </w:r>
          </w:p>
        </w:tc>
      </w:tr>
      <w:tr>
        <w:tc>
          <w:tcPr>
            <w:tcW w:type="dxa" w:w="5227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12:00–12:30</w:t>
            </w:r>
          </w:p>
        </w:tc>
        <w:tc>
          <w:tcPr>
            <w:tcW w:type="dxa" w:w="5227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Lunch Break</w:t>
            </w:r>
          </w:p>
        </w:tc>
      </w:tr>
      <w:tr>
        <w:tc>
          <w:tcPr>
            <w:tcW w:type="dxa" w:w="5227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12:30–3:30</w:t>
            </w:r>
          </w:p>
        </w:tc>
        <w:tc>
          <w:tcPr>
            <w:tcW w:type="dxa" w:w="5227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Final Development, Integration &amp; Testing</w:t>
            </w:r>
          </w:p>
        </w:tc>
      </w:tr>
      <w:tr>
        <w:tc>
          <w:tcPr>
            <w:tcW w:type="dxa" w:w="5227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3:30–4:20</w:t>
            </w:r>
          </w:p>
        </w:tc>
        <w:tc>
          <w:tcPr>
            <w:tcW w:type="dxa" w:w="5227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Round 3 — Final Demo &amp; Evaluation (60)</w:t>
            </w:r>
          </w:p>
        </w:tc>
      </w:tr>
      <w:tr>
        <w:tc>
          <w:tcPr>
            <w:tcW w:type="dxa" w:w="5227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4:20–4:30</w:t>
            </w:r>
          </w:p>
        </w:tc>
        <w:tc>
          <w:tcPr>
            <w:tcW w:type="dxa" w:w="5227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Closing &amp; Submission Confirmation</w:t>
            </w:r>
          </w:p>
        </w:tc>
      </w:tr>
    </w:tbl>
    <w:p>
      <w:pPr>
        <w:spacing w:before="100" w:after="40"/>
      </w:pPr>
      <w:r>
        <w:rPr>
          <w:b/>
          <w:color w:val="005391"/>
          <w:sz w:val="21"/>
        </w:rPr>
        <w:t>8. RESULTS</w:t>
      </w:r>
    </w:p>
    <w:p>
      <w:pPr>
        <w:pStyle w:val="ListBullet"/>
        <w:spacing w:before="0" w:after="30" w:line="240" w:lineRule="auto"/>
        <w:ind w:left="259" w:hanging="173"/>
      </w:pPr>
      <w:r>
        <w:rPr>
          <w:b/>
        </w:rPr>
        <w:t xml:space="preserve">Hackathon day: </w:t>
      </w:r>
      <w:r>
        <w:t>Winners are not announced on 14 October.</w:t>
      </w:r>
    </w:p>
    <w:p>
      <w:pPr>
        <w:pStyle w:val="ListBullet"/>
        <w:spacing w:before="0" w:after="30" w:line="240" w:lineRule="auto"/>
        <w:ind w:left="259" w:hanging="173"/>
      </w:pPr>
      <w:r>
        <w:rPr>
          <w:b/>
        </w:rPr>
        <w:t xml:space="preserve">Final results: </w:t>
      </w:r>
      <w:r>
        <w:t>Scores are consolidated and verified after the event.</w:t>
      </w:r>
    </w:p>
    <w:p>
      <w:pPr>
        <w:pStyle w:val="ListBullet"/>
        <w:spacing w:before="0" w:after="30" w:line="240" w:lineRule="auto"/>
        <w:ind w:left="259" w:hanging="173"/>
      </w:pPr>
      <w:r>
        <w:rPr>
          <w:b/>
        </w:rPr>
        <w:t xml:space="preserve">Top 3: </w:t>
      </w:r>
      <w:r>
        <w:t>Formally announced on 15 October 2026 during the conclusion of IEEE Day.</w:t>
      </w:r>
    </w:p>
    <w:p>
      <w:pPr>
        <w:spacing w:before="100" w:after="0"/>
        <w:jc w:val="center"/>
      </w:pPr>
      <w:r>
        <w:rPr>
          <w:b/>
          <w:color w:val="005391"/>
          <w:sz w:val="20"/>
        </w:rPr>
        <w:t>BUILD • INTEGRATE • DEMONSTRATE</w:t>
      </w:r>
    </w:p>
    <w:sectPr w:rsidR="00FC693F" w:rsidRPr="0006063C" w:rsidSect="00034616">
      <w:footerReference w:type="default" r:id="rId10"/>
      <w:pgSz w:w="12240" w:h="15840"/>
      <w:pgMar w:top="547" w:right="893" w:bottom="605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color w:val="5F5F5F"/>
        <w:sz w:val="14"/>
      </w:rPr>
      <w:t>IEEE Computer Society × IEEE Computational Intelligence Society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0" w:line="240" w:lineRule="auto"/>
    </w:pPr>
    <w:rPr>
      <w:rFonts w:ascii="Aptos" w:hAnsi="Aptos"/>
      <w:color w:val="23232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