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IEEE COMPUTER SOCIETY × IEEE COMPUTATIONAL INTELLIGENCE SOCIETY</w:t>
      </w:r>
      <w:r>
        <w:rPr>
          <w:b/>
          <w:sz w:val="20"/>
        </w:rPr>
        <w:br/>
        <w:t>AMRITA VISHWA VIDYAPEETHAM, CHENNAI</w:t>
      </w:r>
    </w:p>
    <w:p>
      <w:pPr>
        <w:jc w:val="center"/>
      </w:pPr>
      <w:r>
        <w:rPr>
          <w:b/>
          <w:sz w:val="44"/>
        </w:rPr>
        <w:t>IEEE CS × IEEE CIS HACKATHON — TWO-REVIEW FORMAT</w:t>
      </w:r>
    </w:p>
    <w:p>
      <w:pPr>
        <w:jc w:val="center"/>
      </w:pPr>
      <w:r>
        <w:rPr>
          <w:i/>
          <w:sz w:val="21"/>
        </w:rPr>
        <w:t>Event Proposal / Draft — 14 October 2026</w:t>
      </w:r>
    </w:p>
    <w:p>
      <w:pPr>
        <w:jc w:val="center"/>
      </w:pPr>
      <w:r>
        <w:rPr>
          <w:b/>
          <w:sz w:val="21"/>
        </w:rPr>
        <w:t>Event Name: TBD</w:t>
      </w:r>
    </w:p>
    <w:p>
      <w:pPr>
        <w:pStyle w:val="Heading1"/>
      </w:pPr>
      <w:r>
        <w:t>1. Event Overview</w:t>
      </w:r>
    </w:p>
    <w:p>
      <w:r>
        <w:t>The proposed hackathon is a joint initiative of IEEE Computer Society (IEEE CS) and IEEE Computational Intelligence Society (IEEE CIS) at Amrita Vishwa Vidyapeetham, Chennai. The event is designed to challenge participants to transform real-world problem statements into intelligent, user-facing solutions by combining computational intelligence with complete full-stack development.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9"/>
              </w:rPr>
              <w:t>Institution</w:t>
            </w:r>
          </w:p>
        </w:tc>
        <w:tc>
          <w:tcPr>
            <w:tcW w:type="dxa" w:w="5112"/>
            <w:vAlign w:val="center"/>
          </w:tcPr>
          <w:p>
            <w:r/>
            <w:r>
              <w:rPr>
                <w:b w:val="0"/>
                <w:sz w:val="19"/>
              </w:rPr>
              <w:t>Amrita Vishwa Vidyapeetham, Chennai</w:t>
            </w:r>
          </w:p>
        </w:tc>
      </w:tr>
      <w:tr>
        <w:tc>
          <w:tcPr>
            <w:tcW w:type="dxa" w:w="5112"/>
            <w:vAlign w:val="center"/>
            <w:shd w:fill="EAF2F8"/>
          </w:tcPr>
          <w:p>
            <w:r/>
            <w:r>
              <w:rPr>
                <w:b/>
                <w:sz w:val="19"/>
              </w:rPr>
              <w:t>Organizers</w:t>
            </w:r>
          </w:p>
        </w:tc>
        <w:tc>
          <w:tcPr>
            <w:tcW w:type="dxa" w:w="5112"/>
            <w:vAlign w:val="center"/>
          </w:tcPr>
          <w:p>
            <w:r/>
            <w:r>
              <w:rPr>
                <w:b w:val="0"/>
                <w:sz w:val="19"/>
              </w:rPr>
              <w:t>IEEE Computer Society × IEEE Computational Intelligence Society</w:t>
            </w:r>
          </w:p>
        </w:tc>
      </w:tr>
      <w:tr>
        <w:tc>
          <w:tcPr>
            <w:tcW w:type="dxa" w:w="5112"/>
            <w:vAlign w:val="center"/>
            <w:shd w:fill="EAF2F8"/>
          </w:tcPr>
          <w:p>
            <w:r/>
            <w:r>
              <w:rPr>
                <w:b/>
                <w:sz w:val="19"/>
              </w:rPr>
              <w:t>Date</w:t>
            </w:r>
          </w:p>
        </w:tc>
        <w:tc>
          <w:tcPr>
            <w:tcW w:type="dxa" w:w="5112"/>
            <w:vAlign w:val="center"/>
          </w:tcPr>
          <w:p>
            <w:r/>
            <w:r>
              <w:rPr>
                <w:b w:val="0"/>
                <w:sz w:val="19"/>
              </w:rPr>
              <w:t>14 October 2026</w:t>
            </w:r>
          </w:p>
        </w:tc>
      </w:tr>
      <w:tr>
        <w:tc>
          <w:tcPr>
            <w:tcW w:type="dxa" w:w="5112"/>
            <w:vAlign w:val="center"/>
            <w:shd w:fill="EAF2F8"/>
          </w:tcPr>
          <w:p>
            <w:r/>
            <w:r>
              <w:rPr>
                <w:b/>
                <w:sz w:val="19"/>
              </w:rPr>
              <w:t>Time</w:t>
            </w:r>
          </w:p>
        </w:tc>
        <w:tc>
          <w:tcPr>
            <w:tcW w:type="dxa" w:w="5112"/>
            <w:vAlign w:val="center"/>
          </w:tcPr>
          <w:p>
            <w:r/>
            <w:r>
              <w:rPr>
                <w:b w:val="0"/>
                <w:sz w:val="19"/>
              </w:rPr>
              <w:t>8:30 AM – 4:30 PM</w:t>
            </w:r>
          </w:p>
        </w:tc>
      </w:tr>
      <w:tr>
        <w:tc>
          <w:tcPr>
            <w:tcW w:type="dxa" w:w="5112"/>
            <w:vAlign w:val="center"/>
            <w:shd w:fill="EAF2F8"/>
          </w:tcPr>
          <w:p>
            <w:r/>
            <w:r>
              <w:rPr>
                <w:b/>
                <w:sz w:val="19"/>
              </w:rPr>
              <w:t>Venue</w:t>
            </w:r>
          </w:p>
        </w:tc>
        <w:tc>
          <w:tcPr>
            <w:tcW w:type="dxa" w:w="5112"/>
            <w:vAlign w:val="center"/>
          </w:tcPr>
          <w:p>
            <w:r/>
            <w:r>
              <w:rPr>
                <w:b w:val="0"/>
                <w:sz w:val="19"/>
              </w:rPr>
              <w:t>TBD</w:t>
            </w:r>
          </w:p>
        </w:tc>
      </w:tr>
      <w:tr>
        <w:tc>
          <w:tcPr>
            <w:tcW w:type="dxa" w:w="5112"/>
            <w:vAlign w:val="center"/>
            <w:shd w:fill="EAF2F8"/>
          </w:tcPr>
          <w:p>
            <w:r/>
            <w:r>
              <w:rPr>
                <w:b/>
                <w:sz w:val="19"/>
              </w:rPr>
              <w:t>Event Name</w:t>
            </w:r>
          </w:p>
        </w:tc>
        <w:tc>
          <w:tcPr>
            <w:tcW w:type="dxa" w:w="5112"/>
            <w:vAlign w:val="center"/>
          </w:tcPr>
          <w:p>
            <w:r/>
            <w:r>
              <w:rPr>
                <w:b w:val="0"/>
                <w:sz w:val="19"/>
              </w:rPr>
              <w:t>TBD</w:t>
            </w:r>
          </w:p>
        </w:tc>
      </w:tr>
      <w:tr>
        <w:tc>
          <w:tcPr>
            <w:tcW w:type="dxa" w:w="5112"/>
            <w:vAlign w:val="center"/>
            <w:shd w:fill="EAF2F8"/>
          </w:tcPr>
          <w:p>
            <w:r/>
            <w:r>
              <w:rPr>
                <w:b/>
                <w:sz w:val="19"/>
              </w:rPr>
              <w:t>Expected Participation</w:t>
            </w:r>
          </w:p>
        </w:tc>
        <w:tc>
          <w:tcPr>
            <w:tcW w:type="dxa" w:w="5112"/>
            <w:vAlign w:val="center"/>
          </w:tcPr>
          <w:p>
            <w:r/>
            <w:r>
              <w:rPr>
                <w:b w:val="0"/>
                <w:sz w:val="19"/>
              </w:rPr>
              <w:t>Minimum 25 teams</w:t>
            </w:r>
          </w:p>
        </w:tc>
      </w:tr>
      <w:tr>
        <w:tc>
          <w:tcPr>
            <w:tcW w:type="dxa" w:w="5112"/>
            <w:vAlign w:val="center"/>
            <w:shd w:fill="EAF2F8"/>
          </w:tcPr>
          <w:p>
            <w:r/>
            <w:r>
              <w:rPr>
                <w:b/>
                <w:sz w:val="19"/>
              </w:rPr>
              <w:t>Team Size</w:t>
            </w:r>
          </w:p>
        </w:tc>
        <w:tc>
          <w:tcPr>
            <w:tcW w:type="dxa" w:w="5112"/>
            <w:vAlign w:val="center"/>
          </w:tcPr>
          <w:p>
            <w:r/>
            <w:r>
              <w:rPr>
                <w:b w:val="0"/>
                <w:sz w:val="19"/>
              </w:rPr>
              <w:t>2–4 members per team</w:t>
            </w:r>
          </w:p>
        </w:tc>
      </w:tr>
      <w:tr>
        <w:tc>
          <w:tcPr>
            <w:tcW w:type="dxa" w:w="5112"/>
            <w:vAlign w:val="center"/>
            <w:shd w:fill="EAF2F8"/>
          </w:tcPr>
          <w:p>
            <w:r/>
            <w:r>
              <w:rPr>
                <w:b/>
                <w:sz w:val="19"/>
              </w:rPr>
              <w:t>Eligibility</w:t>
            </w:r>
          </w:p>
        </w:tc>
        <w:tc>
          <w:tcPr>
            <w:tcW w:type="dxa" w:w="5112"/>
            <w:vAlign w:val="center"/>
          </w:tcPr>
          <w:p>
            <w:r/>
            <w:r>
              <w:rPr>
                <w:b w:val="0"/>
                <w:sz w:val="19"/>
              </w:rPr>
              <w:t>Amrita students and participants from other colleges; final eligibility scope TBD. IEEE membership is not required.</w:t>
            </w:r>
          </w:p>
        </w:tc>
      </w:tr>
      <w:tr>
        <w:tc>
          <w:tcPr>
            <w:tcW w:type="dxa" w:w="5112"/>
            <w:vAlign w:val="center"/>
            <w:shd w:fill="EAF2F8"/>
          </w:tcPr>
          <w:p>
            <w:r/>
            <w:r>
              <w:rPr>
                <w:b/>
                <w:sz w:val="19"/>
              </w:rPr>
              <w:t>Problem Statements</w:t>
            </w:r>
          </w:p>
        </w:tc>
        <w:tc>
          <w:tcPr>
            <w:tcW w:type="dxa" w:w="5112"/>
            <w:vAlign w:val="center"/>
          </w:tcPr>
          <w:p>
            <w:r/>
            <w:r>
              <w:rPr>
                <w:b w:val="0"/>
                <w:sz w:val="19"/>
              </w:rPr>
              <w:t>Multiple problem statements across different domains; exact domains and release mechanism are TBD.</w:t>
            </w:r>
          </w:p>
        </w:tc>
      </w:tr>
    </w:tbl>
    <w:p/>
    <w:p>
      <w:pPr>
        <w:pStyle w:val="Heading1"/>
      </w:pPr>
      <w:r>
        <w:t>2. Hackathon Concept</w:t>
      </w:r>
    </w:p>
    <w:p>
      <w:r>
        <w:t>Teams will choose a problem statement and develop a functional prototype that combines an AI/computational-intelligence component with a complete full-stack application. The objective is not merely to build a model or a website independently, but to integrate the intelligent component into an application that users can interact with.</w:t>
      </w:r>
    </w:p>
    <w:p>
      <w:pPr>
        <w:pStyle w:val="ListBullet"/>
      </w:pPr>
      <w:r>
        <w:t>Analyze and understand a real-world problem statement.</w:t>
      </w:r>
    </w:p>
    <w:p>
      <w:pPr>
        <w:pStyle w:val="ListBullet"/>
      </w:pPr>
      <w:r>
        <w:t>Design and implement an appropriate AI, machine-learning, or computational-intelligence approach.</w:t>
      </w:r>
    </w:p>
    <w:p>
      <w:pPr>
        <w:pStyle w:val="ListBullet"/>
      </w:pPr>
      <w:r>
        <w:t>Develop a functional frontend, backend, APIs, database and/or other required application components.</w:t>
      </w:r>
    </w:p>
    <w:p>
      <w:pPr>
        <w:pStyle w:val="ListBullet"/>
      </w:pPr>
      <w:r>
        <w:t>Integrate the intelligent model/component into the application.</w:t>
      </w:r>
    </w:p>
    <w:p>
      <w:pPr>
        <w:pStyle w:val="ListBullet"/>
      </w:pPr>
      <w:r>
        <w:t>Present model outputs, predictions, classifications, recommendations, optimizations or other relevant results to the user where appropriate.</w:t>
      </w:r>
    </w:p>
    <w:p>
      <w:pPr>
        <w:pStyle w:val="ListBullet"/>
      </w:pPr>
      <w:r>
        <w:t>Demonstrate a coherent and usable end-to-end prototype.</w:t>
      </w:r>
    </w:p>
    <w:p/>
    <w:p>
      <w:pPr>
        <w:pStyle w:val="Heading1"/>
      </w:pPr>
      <w:r>
        <w:t>3. Development Philosophy</w:t>
      </w:r>
    </w:p>
    <w:p>
      <w:r>
        <w:t>AI/computational-intelligence development and full-stack development are not separate mandatory phases. Teams may work on both components in parallel and divide responsibilities among members according to their strengths. The judging will focus on the quality of the integrated solution.</w:t>
      </w:r>
    </w:p>
    <w:p>
      <w:r>
        <w:t>Because the event provides a limited development window, the expected outcome is a functional prototype demonstrating the core solution, intelligent component and full-stack integration. Teams are not expected to build production-scale systems or train large models from scratch.</w:t>
      </w:r>
    </w:p>
    <w:p>
      <w:pPr>
        <w:pStyle w:val="Heading1"/>
      </w:pPr>
      <w:r>
        <w:t>4. Technology &amp; AI Tool Policy</w:t>
      </w:r>
    </w:p>
    <w:p>
      <w:pPr>
        <w:pStyle w:val="ListBullet"/>
      </w:pPr>
      <w:r>
        <w:t>Pre-built technologies are permitted, including TensorFlow, PyTorch, scikit-learn, Hugging Face models, pretrained models, public datasets and relevant APIs.</w:t>
      </w:r>
    </w:p>
    <w:p>
      <w:pPr>
        <w:pStyle w:val="ListBullet"/>
      </w:pPr>
      <w:r>
        <w:t>AI-assisted development tools are permitted subject to the event's restrictions.</w:t>
      </w:r>
    </w:p>
    <w:p>
      <w:pPr>
        <w:pStyle w:val="ListBullet"/>
      </w:pPr>
      <w:r>
        <w:t>Advanced/frontier AI models designated by the organizers (for example, models such as Astra, Opus or equivalent restricted systems) are not permitted.</w:t>
      </w:r>
    </w:p>
    <w:p>
      <w:pPr>
        <w:pStyle w:val="ListBullet"/>
      </w:pPr>
      <w:r>
        <w:t>The final submission must represent the team's own understanding and implementation. Teams must be able to demonstrate how the intelligent component and application work together.</w:t>
      </w:r>
    </w:p>
    <w:p>
      <w:pPr>
        <w:pStyle w:val="ListBullet"/>
      </w:pPr>
      <w:r>
        <w:t>The organizers reserve the right to clarify or update the permitted-tool list before the event.</w:t>
      </w:r>
    </w:p>
    <w:p/>
    <w:p>
      <w:pPr>
        <w:pStyle w:val="Heading1"/>
      </w:pPr>
      <w:r>
        <w:t>5. Team &amp; Participation Guidelines</w:t>
      </w:r>
    </w:p>
    <w:p>
      <w:pPr>
        <w:pStyle w:val="ListBullet"/>
      </w:pPr>
      <w:r>
        <w:t>Each team must consist of 2–4 members.</w:t>
      </w:r>
    </w:p>
    <w:p>
      <w:pPr>
        <w:pStyle w:val="ListBullet"/>
      </w:pPr>
      <w:r>
        <w:t>Day scholars are eligible to participate.</w:t>
      </w:r>
    </w:p>
    <w:p>
      <w:pPr>
        <w:pStyle w:val="ListBullet"/>
      </w:pPr>
      <w:r>
        <w:t>If a day scholar needs to leave campus at or before 3:30 PM, at least one hostel/residential student from the team must remain present until completion of the final evaluation and be capable of representing the team.</w:t>
      </w:r>
    </w:p>
    <w:p>
      <w:pPr>
        <w:pStyle w:val="ListBullet"/>
      </w:pPr>
      <w:r>
        <w:t>Registration and team formation will be completed before the event day.</w:t>
      </w:r>
    </w:p>
    <w:p>
      <w:pPr>
        <w:pStyle w:val="ListBullet"/>
      </w:pPr>
      <w:r>
        <w:t>Teams may continue working during the scheduled tea and lunch breaks if they wish, subject to venue and organizer guidelines.</w:t>
      </w:r>
    </w:p>
    <w:p/>
    <w:p>
      <w:pPr>
        <w:pStyle w:val="Heading1"/>
      </w:pPr>
      <w:r>
        <w:t>6. Result Declaration</w:t>
      </w:r>
    </w:p>
    <w:p>
      <w:r>
        <w:t>Final scores will be consolidated and verified after the hackathon. Winners will not be announced on 14 October 2026. The Top 3 teams will be formally announced on 15 October 2026 during the conclusion of IEEE Day.</w:t>
      </w:r>
    </w:p>
    <w:p>
      <w:pPr>
        <w:pStyle w:val="Heading1"/>
      </w:pPr>
      <w:r>
        <w:t>7. Administrative Details — TBD</w:t>
      </w:r>
    </w:p>
    <w:p>
      <w:pPr>
        <w:pStyle w:val="ListBullet"/>
      </w:pPr>
      <w:r>
        <w:t>Final event title</w:t>
      </w:r>
    </w:p>
    <w:p>
      <w:pPr>
        <w:pStyle w:val="ListBullet"/>
      </w:pPr>
      <w:r>
        <w:t>Venue / room allocation</w:t>
      </w:r>
    </w:p>
    <w:p>
      <w:pPr>
        <w:pStyle w:val="ListBullet"/>
      </w:pPr>
      <w:r>
        <w:t>Final problem-statement domains</w:t>
      </w:r>
    </w:p>
    <w:p>
      <w:pPr>
        <w:pStyle w:val="ListBullet"/>
      </w:pPr>
      <w:r>
        <w:t>Problem-statement release mechanism</w:t>
      </w:r>
    </w:p>
    <w:p>
      <w:pPr>
        <w:pStyle w:val="ListBullet"/>
      </w:pPr>
      <w:r>
        <w:t>Final eligibility scope and inter-college participation rules</w:t>
      </w:r>
    </w:p>
    <w:p>
      <w:pPr>
        <w:pStyle w:val="ListBullet"/>
      </w:pPr>
      <w:r>
        <w:t>Number and composition of judging panels</w:t>
      </w:r>
    </w:p>
    <w:p>
      <w:pPr>
        <w:pStyle w:val="ListBullet"/>
      </w:pPr>
      <w:r>
        <w:t>Submission platform and final submission format</w:t>
      </w:r>
    </w:p>
    <w:p>
      <w:pPr>
        <w:pStyle w:val="ListBullet"/>
      </w:pPr>
      <w:r>
        <w:t>Prize details and certificates</w:t>
      </w:r>
    </w:p>
    <w:p>
      <w:pPr>
        <w:pStyle w:val="ListBullet"/>
      </w:pPr>
      <w:r>
        <w:t>Faculty coordinators / event leads</w:t>
      </w:r>
    </w:p>
    <w:p/>
    <w:p>
      <w:pPr>
        <w:pStyle w:val="Heading1"/>
      </w:pPr>
      <w:r>
        <w:t>8. Evaluation Structure — Two Reviews</w:t>
      </w:r>
    </w:p>
    <w:p>
      <w:r>
        <w:t>The two-review format uses three scored components: an opening quiz, a midpoint project review, and a final product evaluation. There is no elimination between rounds; every team proceeds to the final evaluation.</w:t>
      </w:r>
    </w:p>
    <w:p>
      <w:r>
        <w:t>Total score: 100 marks.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9"/>
              </w:rPr>
              <w:t>Criterion</w:t>
            </w:r>
          </w:p>
        </w:tc>
        <w:tc>
          <w:tcPr>
            <w:tcW w:type="dxa" w:w="3408"/>
            <w:vAlign w:val="center"/>
            <w:shd w:fill="D9EAF7"/>
          </w:tcPr>
          <w:p>
            <w:r/>
            <w:r>
              <w:rPr>
                <w:b/>
                <w:sz w:val="19"/>
              </w:rPr>
              <w:t>Marks</w:t>
            </w:r>
          </w:p>
        </w:tc>
        <w:tc>
          <w:tcPr>
            <w:tcW w:type="dxa" w:w="3408"/>
            <w:vAlign w:val="center"/>
            <w:shd w:fill="D9EAF7"/>
          </w:tcPr>
          <w:p>
            <w:r/>
            <w:r>
              <w:rPr>
                <w:b/>
                <w:sz w:val="19"/>
              </w:rPr>
              <w:t>What is assessed</w:t>
            </w:r>
          </w:p>
        </w:tc>
      </w:tr>
      <w:tr>
        <w:tc>
          <w:tcPr>
            <w:tcW w:type="dxa" w:w="3408"/>
            <w:vAlign w:val="center"/>
          </w:tcPr>
          <w:p>
            <w:r/>
            <w:r>
              <w:rPr>
                <w:b w:val="0"/>
                <w:sz w:val="19"/>
              </w:rPr>
              <w:t>Round 1 — Opening Technical Quiz</w:t>
            </w:r>
          </w:p>
        </w:tc>
        <w:tc>
          <w:tcPr>
            <w:tcW w:type="dxa" w:w="3408"/>
            <w:vAlign w:val="center"/>
          </w:tcPr>
          <w:p>
            <w:r/>
            <w:r>
              <w:rPr>
                <w:b w:val="0"/>
                <w:sz w:val="19"/>
              </w:rPr>
              <w:t>10</w:t>
            </w:r>
          </w:p>
        </w:tc>
        <w:tc>
          <w:tcPr>
            <w:tcW w:type="dxa" w:w="3408"/>
            <w:vAlign w:val="center"/>
          </w:tcPr>
          <w:p>
            <w:r/>
            <w:r>
              <w:rPr>
                <w:b w:val="0"/>
                <w:sz w:val="19"/>
              </w:rPr>
              <w:t>Baseline CS, AI/ML, computational intelligence and problem-solving knowledge.</w:t>
            </w:r>
          </w:p>
        </w:tc>
      </w:tr>
      <w:tr>
        <w:tc>
          <w:tcPr>
            <w:tcW w:type="dxa" w:w="3408"/>
            <w:vAlign w:val="center"/>
          </w:tcPr>
          <w:p>
            <w:r/>
            <w:r>
              <w:rPr>
                <w:b w:val="0"/>
                <w:sz w:val="19"/>
              </w:rPr>
              <w:t>Round 2 — Midpoint Project Review</w:t>
            </w:r>
          </w:p>
        </w:tc>
        <w:tc>
          <w:tcPr>
            <w:tcW w:type="dxa" w:w="3408"/>
            <w:vAlign w:val="center"/>
          </w:tcPr>
          <w:p>
            <w:r/>
            <w:r>
              <w:rPr>
                <w:b w:val="0"/>
                <w:sz w:val="19"/>
              </w:rPr>
              <w:t>30</w:t>
            </w:r>
          </w:p>
        </w:tc>
        <w:tc>
          <w:tcPr>
            <w:tcW w:type="dxa" w:w="3408"/>
            <w:vAlign w:val="center"/>
          </w:tcPr>
          <w:p>
            <w:r/>
            <w:r>
              <w:rPr>
                <w:b w:val="0"/>
                <w:sz w:val="19"/>
              </w:rPr>
              <w:t>Problem understanding, solution architecture, AI/CI approach, progress and feasibility.</w:t>
            </w:r>
          </w:p>
        </w:tc>
      </w:tr>
      <w:tr>
        <w:tc>
          <w:tcPr>
            <w:tcW w:type="dxa" w:w="3408"/>
            <w:vAlign w:val="center"/>
          </w:tcPr>
          <w:p>
            <w:r/>
            <w:r>
              <w:rPr>
                <w:b w:val="0"/>
                <w:sz w:val="19"/>
              </w:rPr>
              <w:t>Round 3 — Final Demo &amp; Evaluation</w:t>
            </w:r>
          </w:p>
        </w:tc>
        <w:tc>
          <w:tcPr>
            <w:tcW w:type="dxa" w:w="3408"/>
            <w:vAlign w:val="center"/>
          </w:tcPr>
          <w:p>
            <w:r/>
            <w:r>
              <w:rPr>
                <w:b w:val="0"/>
                <w:sz w:val="19"/>
              </w:rPr>
              <w:t>60</w:t>
            </w:r>
          </w:p>
        </w:tc>
        <w:tc>
          <w:tcPr>
            <w:tcW w:type="dxa" w:w="3408"/>
            <w:vAlign w:val="center"/>
          </w:tcPr>
          <w:p>
            <w:r/>
            <w:r>
              <w:rPr>
                <w:b w:val="0"/>
                <w:sz w:val="19"/>
              </w:rPr>
              <w:t>Technical solution, full-stack implementation, AI component, integration, innovation, UX and presentation.</w:t>
            </w:r>
          </w:p>
        </w:tc>
      </w:tr>
      <w:tr>
        <w:tc>
          <w:tcPr>
            <w:tcW w:type="dxa" w:w="3408"/>
            <w:vAlign w:val="center"/>
            <w:shd w:fill="EAF2F8"/>
          </w:tcPr>
          <w:p>
            <w:r/>
            <w:r>
              <w:rPr>
                <w:b/>
                <w:sz w:val="19"/>
              </w:rPr>
              <w:t>TOTAL</w:t>
            </w:r>
          </w:p>
        </w:tc>
        <w:tc>
          <w:tcPr>
            <w:tcW w:type="dxa" w:w="3408"/>
            <w:vAlign w:val="center"/>
            <w:shd w:fill="EAF2F8"/>
          </w:tcPr>
          <w:p>
            <w:r/>
            <w:r>
              <w:rPr>
                <w:b/>
                <w:sz w:val="19"/>
              </w:rPr>
              <w:t>100</w:t>
            </w:r>
          </w:p>
        </w:tc>
        <w:tc>
          <w:tcPr>
            <w:tcW w:type="dxa" w:w="3408"/>
            <w:vAlign w:val="center"/>
            <w:shd w:fill="EAF2F8"/>
          </w:tcPr>
          <w:p>
            <w:r/>
            <w:r>
              <w:rPr>
                <w:b/>
                <w:sz w:val="19"/>
              </w:rPr>
            </w:r>
          </w:p>
        </w:tc>
      </w:tr>
    </w:tbl>
    <w:p/>
    <w:p>
      <w:pPr>
        <w:pStyle w:val="Heading1"/>
      </w:pPr>
      <w:r>
        <w:t>9. Detailed Final Evaluation — 60 Marks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9"/>
              </w:rPr>
              <w:t>Criterion</w:t>
            </w:r>
          </w:p>
        </w:tc>
        <w:tc>
          <w:tcPr>
            <w:tcW w:type="dxa" w:w="3408"/>
            <w:vAlign w:val="center"/>
            <w:shd w:fill="D9EAF7"/>
          </w:tcPr>
          <w:p>
            <w:r/>
            <w:r>
              <w:rPr>
                <w:b/>
                <w:sz w:val="19"/>
              </w:rPr>
              <w:t>Marks</w:t>
            </w:r>
          </w:p>
        </w:tc>
        <w:tc>
          <w:tcPr>
            <w:tcW w:type="dxa" w:w="3408"/>
            <w:vAlign w:val="center"/>
            <w:shd w:fill="D9EAF7"/>
          </w:tcPr>
          <w:p>
            <w:r/>
            <w:r>
              <w:rPr>
                <w:b/>
                <w:sz w:val="19"/>
              </w:rPr>
              <w:t>What is assessed</w:t>
            </w:r>
          </w:p>
        </w:tc>
      </w:tr>
      <w:tr>
        <w:tc>
          <w:tcPr>
            <w:tcW w:type="dxa" w:w="3408"/>
            <w:vAlign w:val="center"/>
          </w:tcPr>
          <w:p>
            <w:r/>
            <w:r>
              <w:rPr>
                <w:b w:val="0"/>
                <w:sz w:val="19"/>
              </w:rPr>
              <w:t>Problem Understanding &amp; Relevance</w:t>
            </w:r>
          </w:p>
        </w:tc>
        <w:tc>
          <w:tcPr>
            <w:tcW w:type="dxa" w:w="3408"/>
            <w:vAlign w:val="center"/>
          </w:tcPr>
          <w:p>
            <w:r/>
            <w:r>
              <w:rPr>
                <w:b w:val="0"/>
                <w:sz w:val="19"/>
              </w:rPr>
              <w:t>8</w:t>
            </w:r>
          </w:p>
        </w:tc>
        <w:tc>
          <w:tcPr>
            <w:tcW w:type="dxa" w:w="3408"/>
            <w:vAlign w:val="center"/>
          </w:tcPr>
          <w:p>
            <w:r/>
            <w:r>
              <w:rPr>
                <w:b w:val="0"/>
                <w:sz w:val="19"/>
              </w:rPr>
              <w:t>Clarity of problem definition, relevance of the proposed solution and alignment with the selected problem statement.</w:t>
            </w:r>
          </w:p>
        </w:tc>
      </w:tr>
      <w:tr>
        <w:tc>
          <w:tcPr>
            <w:tcW w:type="dxa" w:w="3408"/>
            <w:vAlign w:val="center"/>
          </w:tcPr>
          <w:p>
            <w:r/>
            <w:r>
              <w:rPr>
                <w:b w:val="0"/>
                <w:sz w:val="19"/>
              </w:rPr>
              <w:t>AI / Computational Intelligence Component</w:t>
            </w:r>
          </w:p>
        </w:tc>
        <w:tc>
          <w:tcPr>
            <w:tcW w:type="dxa" w:w="3408"/>
            <w:vAlign w:val="center"/>
          </w:tcPr>
          <w:p>
            <w:r/>
            <w:r>
              <w:rPr>
                <w:b w:val="0"/>
                <w:sz w:val="19"/>
              </w:rPr>
              <w:t>12</w:t>
            </w:r>
          </w:p>
        </w:tc>
        <w:tc>
          <w:tcPr>
            <w:tcW w:type="dxa" w:w="3408"/>
            <w:vAlign w:val="center"/>
          </w:tcPr>
          <w:p>
            <w:r/>
            <w:r>
              <w:rPr>
                <w:b w:val="0"/>
                <w:sz w:val="19"/>
              </w:rPr>
              <w:t>Technical quality, appropriateness and meaningful use of AI/ML/computational intelligence.</w:t>
            </w:r>
          </w:p>
        </w:tc>
      </w:tr>
      <w:tr>
        <w:tc>
          <w:tcPr>
            <w:tcW w:type="dxa" w:w="3408"/>
            <w:vAlign w:val="center"/>
          </w:tcPr>
          <w:p>
            <w:r/>
            <w:r>
              <w:rPr>
                <w:b w:val="0"/>
                <w:sz w:val="19"/>
              </w:rPr>
              <w:t>Full-Stack Implementation</w:t>
            </w:r>
          </w:p>
        </w:tc>
        <w:tc>
          <w:tcPr>
            <w:tcW w:type="dxa" w:w="3408"/>
            <w:vAlign w:val="center"/>
          </w:tcPr>
          <w:p>
            <w:r/>
            <w:r>
              <w:rPr>
                <w:b w:val="0"/>
                <w:sz w:val="19"/>
              </w:rPr>
              <w:t>14</w:t>
            </w:r>
          </w:p>
        </w:tc>
        <w:tc>
          <w:tcPr>
            <w:tcW w:type="dxa" w:w="3408"/>
            <w:vAlign w:val="center"/>
          </w:tcPr>
          <w:p>
            <w:r/>
            <w:r>
              <w:rPr>
                <w:b w:val="0"/>
                <w:sz w:val="19"/>
              </w:rPr>
              <w:t>Quality and completeness of frontend, backend, APIs, database and overall application architecture.</w:t>
            </w:r>
          </w:p>
        </w:tc>
      </w:tr>
      <w:tr>
        <w:tc>
          <w:tcPr>
            <w:tcW w:type="dxa" w:w="3408"/>
            <w:vAlign w:val="center"/>
          </w:tcPr>
          <w:p>
            <w:r/>
            <w:r>
              <w:rPr>
                <w:b w:val="0"/>
                <w:sz w:val="19"/>
              </w:rPr>
              <w:t>AI Model–Application Integration</w:t>
            </w:r>
          </w:p>
        </w:tc>
        <w:tc>
          <w:tcPr>
            <w:tcW w:type="dxa" w:w="3408"/>
            <w:vAlign w:val="center"/>
          </w:tcPr>
          <w:p>
            <w:r/>
            <w:r>
              <w:rPr>
                <w:b w:val="0"/>
                <w:sz w:val="19"/>
              </w:rPr>
              <w:t>4</w:t>
            </w:r>
          </w:p>
        </w:tc>
        <w:tc>
          <w:tcPr>
            <w:tcW w:type="dxa" w:w="3408"/>
            <w:vAlign w:val="center"/>
          </w:tcPr>
          <w:p>
            <w:r/>
            <w:r>
              <w:rPr>
                <w:b w:val="0"/>
                <w:sz w:val="19"/>
              </w:rPr>
              <w:t>Effectiveness of connecting the intelligent component to the application and using its outputs.</w:t>
            </w:r>
          </w:p>
        </w:tc>
      </w:tr>
      <w:tr>
        <w:tc>
          <w:tcPr>
            <w:tcW w:type="dxa" w:w="3408"/>
            <w:vAlign w:val="center"/>
          </w:tcPr>
          <w:p>
            <w:r/>
            <w:r>
              <w:rPr>
                <w:b w:val="0"/>
                <w:sz w:val="19"/>
              </w:rPr>
              <w:t>Innovation &amp; Creativity</w:t>
            </w:r>
          </w:p>
        </w:tc>
        <w:tc>
          <w:tcPr>
            <w:tcW w:type="dxa" w:w="3408"/>
            <w:vAlign w:val="center"/>
          </w:tcPr>
          <w:p>
            <w:r/>
            <w:r>
              <w:rPr>
                <w:b w:val="0"/>
                <w:sz w:val="19"/>
              </w:rPr>
              <w:t>7</w:t>
            </w:r>
          </w:p>
        </w:tc>
        <w:tc>
          <w:tcPr>
            <w:tcW w:type="dxa" w:w="3408"/>
            <w:vAlign w:val="center"/>
          </w:tcPr>
          <w:p>
            <w:r/>
            <w:r>
              <w:rPr>
                <w:b w:val="0"/>
                <w:sz w:val="19"/>
              </w:rPr>
              <w:t>Originality, creativity and differentiation of the solution.</w:t>
            </w:r>
          </w:p>
        </w:tc>
      </w:tr>
      <w:tr>
        <w:tc>
          <w:tcPr>
            <w:tcW w:type="dxa" w:w="3408"/>
            <w:vAlign w:val="center"/>
          </w:tcPr>
          <w:p>
            <w:r/>
            <w:r>
              <w:rPr>
                <w:b w:val="0"/>
                <w:sz w:val="19"/>
              </w:rPr>
              <w:t>Functionality &amp; User Experience</w:t>
            </w:r>
          </w:p>
        </w:tc>
        <w:tc>
          <w:tcPr>
            <w:tcW w:type="dxa" w:w="3408"/>
            <w:vAlign w:val="center"/>
          </w:tcPr>
          <w:p>
            <w:r/>
            <w:r>
              <w:rPr>
                <w:b w:val="0"/>
                <w:sz w:val="19"/>
              </w:rPr>
              <w:t>5</w:t>
            </w:r>
          </w:p>
        </w:tc>
        <w:tc>
          <w:tcPr>
            <w:tcW w:type="dxa" w:w="3408"/>
            <w:vAlign w:val="center"/>
          </w:tcPr>
          <w:p>
            <w:r/>
            <w:r>
              <w:rPr>
                <w:b w:val="0"/>
                <w:sz w:val="19"/>
              </w:rPr>
              <w:t>Working features, usability, interface quality and meaningful visualization where appropriate.</w:t>
            </w:r>
          </w:p>
        </w:tc>
      </w:tr>
      <w:tr>
        <w:tc>
          <w:tcPr>
            <w:tcW w:type="dxa" w:w="3408"/>
            <w:vAlign w:val="center"/>
          </w:tcPr>
          <w:p>
            <w:r/>
            <w:r>
              <w:rPr>
                <w:b w:val="0"/>
                <w:sz w:val="19"/>
              </w:rPr>
              <w:t>Demo &amp; Presentation</w:t>
            </w:r>
          </w:p>
        </w:tc>
        <w:tc>
          <w:tcPr>
            <w:tcW w:type="dxa" w:w="3408"/>
            <w:vAlign w:val="center"/>
          </w:tcPr>
          <w:p>
            <w:r/>
            <w:r>
              <w:rPr>
                <w:b w:val="0"/>
                <w:sz w:val="19"/>
              </w:rPr>
              <w:t>10</w:t>
            </w:r>
          </w:p>
        </w:tc>
        <w:tc>
          <w:tcPr>
            <w:tcW w:type="dxa" w:w="3408"/>
            <w:vAlign w:val="center"/>
          </w:tcPr>
          <w:p>
            <w:r/>
            <w:r>
              <w:rPr>
                <w:b w:val="0"/>
                <w:sz w:val="19"/>
              </w:rPr>
              <w:t>Clarity, structure, live demonstration and ability to communicate the value of the solution.</w:t>
            </w:r>
          </w:p>
        </w:tc>
      </w:tr>
      <w:tr>
        <w:tc>
          <w:tcPr>
            <w:tcW w:type="dxa" w:w="3408"/>
            <w:vAlign w:val="center"/>
            <w:shd w:fill="EAF2F8"/>
          </w:tcPr>
          <w:p>
            <w:r/>
            <w:r>
              <w:rPr>
                <w:b/>
                <w:sz w:val="19"/>
              </w:rPr>
              <w:t>TOTAL</w:t>
            </w:r>
          </w:p>
        </w:tc>
        <w:tc>
          <w:tcPr>
            <w:tcW w:type="dxa" w:w="3408"/>
            <w:vAlign w:val="center"/>
            <w:shd w:fill="EAF2F8"/>
          </w:tcPr>
          <w:p>
            <w:r/>
            <w:r>
              <w:rPr>
                <w:b/>
                <w:sz w:val="19"/>
              </w:rPr>
              <w:t>60</w:t>
            </w:r>
          </w:p>
        </w:tc>
        <w:tc>
          <w:tcPr>
            <w:tcW w:type="dxa" w:w="3408"/>
            <w:vAlign w:val="center"/>
            <w:shd w:fill="EAF2F8"/>
          </w:tcPr>
          <w:p>
            <w:r/>
            <w:r>
              <w:rPr>
                <w:b/>
                <w:sz w:val="19"/>
              </w:rPr>
            </w:r>
          </w:p>
        </w:tc>
      </w:tr>
    </w:tbl>
    <w:p/>
    <w:p>
      <w:pPr>
        <w:pStyle w:val="Heading1"/>
      </w:pPr>
      <w:r>
        <w:t>10. Midpoint Review — 30 Marks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9"/>
              </w:rPr>
              <w:t>Criterion</w:t>
            </w:r>
          </w:p>
        </w:tc>
        <w:tc>
          <w:tcPr>
            <w:tcW w:type="dxa" w:w="3408"/>
            <w:vAlign w:val="center"/>
            <w:shd w:fill="D9EAF7"/>
          </w:tcPr>
          <w:p>
            <w:r/>
            <w:r>
              <w:rPr>
                <w:b/>
                <w:sz w:val="19"/>
              </w:rPr>
              <w:t>Marks</w:t>
            </w:r>
          </w:p>
        </w:tc>
        <w:tc>
          <w:tcPr>
            <w:tcW w:type="dxa" w:w="3408"/>
            <w:vAlign w:val="center"/>
            <w:shd w:fill="D9EAF7"/>
          </w:tcPr>
          <w:p>
            <w:r/>
            <w:r>
              <w:rPr>
                <w:b/>
                <w:sz w:val="19"/>
              </w:rPr>
              <w:t>What is assessed</w:t>
            </w:r>
          </w:p>
        </w:tc>
      </w:tr>
      <w:tr>
        <w:tc>
          <w:tcPr>
            <w:tcW w:type="dxa" w:w="3408"/>
            <w:vAlign w:val="center"/>
          </w:tcPr>
          <w:p>
            <w:r/>
            <w:r>
              <w:rPr>
                <w:b w:val="0"/>
                <w:sz w:val="19"/>
              </w:rPr>
              <w:t>Problem Understanding</w:t>
            </w:r>
          </w:p>
        </w:tc>
        <w:tc>
          <w:tcPr>
            <w:tcW w:type="dxa" w:w="3408"/>
            <w:vAlign w:val="center"/>
          </w:tcPr>
          <w:p>
            <w:r/>
            <w:r>
              <w:rPr>
                <w:b w:val="0"/>
                <w:sz w:val="19"/>
              </w:rPr>
              <w:t>5</w:t>
            </w:r>
          </w:p>
        </w:tc>
        <w:tc>
          <w:tcPr>
            <w:tcW w:type="dxa" w:w="3408"/>
            <w:vAlign w:val="center"/>
          </w:tcPr>
          <w:p>
            <w:r/>
            <w:r>
              <w:rPr>
                <w:b w:val="0"/>
                <w:sz w:val="19"/>
              </w:rPr>
              <w:t>Understanding of the problem, users and expected outcome.</w:t>
            </w:r>
          </w:p>
        </w:tc>
      </w:tr>
      <w:tr>
        <w:tc>
          <w:tcPr>
            <w:tcW w:type="dxa" w:w="3408"/>
            <w:vAlign w:val="center"/>
          </w:tcPr>
          <w:p>
            <w:r/>
            <w:r>
              <w:rPr>
                <w:b w:val="0"/>
                <w:sz w:val="19"/>
              </w:rPr>
              <w:t>Solution Architecture</w:t>
            </w:r>
          </w:p>
        </w:tc>
        <w:tc>
          <w:tcPr>
            <w:tcW w:type="dxa" w:w="3408"/>
            <w:vAlign w:val="center"/>
          </w:tcPr>
          <w:p>
            <w:r/>
            <w:r>
              <w:rPr>
                <w:b w:val="0"/>
                <w:sz w:val="19"/>
              </w:rPr>
              <w:t>5</w:t>
            </w:r>
          </w:p>
        </w:tc>
        <w:tc>
          <w:tcPr>
            <w:tcW w:type="dxa" w:w="3408"/>
            <w:vAlign w:val="center"/>
          </w:tcPr>
          <w:p>
            <w:r/>
            <w:r>
              <w:rPr>
                <w:b w:val="0"/>
                <w:sz w:val="19"/>
              </w:rPr>
              <w:t>Logical application architecture and technical design.</w:t>
            </w:r>
          </w:p>
        </w:tc>
      </w:tr>
      <w:tr>
        <w:tc>
          <w:tcPr>
            <w:tcW w:type="dxa" w:w="3408"/>
            <w:vAlign w:val="center"/>
          </w:tcPr>
          <w:p>
            <w:r/>
            <w:r>
              <w:rPr>
                <w:b w:val="0"/>
                <w:sz w:val="19"/>
              </w:rPr>
              <w:t>AI / Computational Intelligence Approach</w:t>
            </w:r>
          </w:p>
        </w:tc>
        <w:tc>
          <w:tcPr>
            <w:tcW w:type="dxa" w:w="3408"/>
            <w:vAlign w:val="center"/>
          </w:tcPr>
          <w:p>
            <w:r/>
            <w:r>
              <w:rPr>
                <w:b w:val="0"/>
                <w:sz w:val="19"/>
              </w:rPr>
              <w:t>10</w:t>
            </w:r>
          </w:p>
        </w:tc>
        <w:tc>
          <w:tcPr>
            <w:tcW w:type="dxa" w:w="3408"/>
            <w:vAlign w:val="center"/>
          </w:tcPr>
          <w:p>
            <w:r/>
            <w:r>
              <w:rPr>
                <w:b w:val="0"/>
                <w:sz w:val="19"/>
              </w:rPr>
              <w:t>Appropriateness and technical reasoning behind the proposed intelligent component.</w:t>
            </w:r>
          </w:p>
        </w:tc>
      </w:tr>
      <w:tr>
        <w:tc>
          <w:tcPr>
            <w:tcW w:type="dxa" w:w="3408"/>
            <w:vAlign w:val="center"/>
          </w:tcPr>
          <w:p>
            <w:r/>
            <w:r>
              <w:rPr>
                <w:b w:val="0"/>
                <w:sz w:val="19"/>
              </w:rPr>
              <w:t>Prototype / Development Progress</w:t>
            </w:r>
          </w:p>
        </w:tc>
        <w:tc>
          <w:tcPr>
            <w:tcW w:type="dxa" w:w="3408"/>
            <w:vAlign w:val="center"/>
          </w:tcPr>
          <w:p>
            <w:r/>
            <w:r>
              <w:rPr>
                <w:b w:val="0"/>
                <w:sz w:val="19"/>
              </w:rPr>
              <w:t>5</w:t>
            </w:r>
          </w:p>
        </w:tc>
        <w:tc>
          <w:tcPr>
            <w:tcW w:type="dxa" w:w="3408"/>
            <w:vAlign w:val="center"/>
          </w:tcPr>
          <w:p>
            <w:r/>
            <w:r>
              <w:rPr>
                <w:b w:val="0"/>
                <w:sz w:val="19"/>
              </w:rPr>
              <w:t>Evidence of meaningful implementation progress.</w:t>
            </w:r>
          </w:p>
        </w:tc>
      </w:tr>
      <w:tr>
        <w:tc>
          <w:tcPr>
            <w:tcW w:type="dxa" w:w="3408"/>
            <w:vAlign w:val="center"/>
          </w:tcPr>
          <w:p>
            <w:r/>
            <w:r>
              <w:rPr>
                <w:b w:val="0"/>
                <w:sz w:val="19"/>
              </w:rPr>
              <w:t>Innovation &amp; Feasibility</w:t>
            </w:r>
          </w:p>
        </w:tc>
        <w:tc>
          <w:tcPr>
            <w:tcW w:type="dxa" w:w="3408"/>
            <w:vAlign w:val="center"/>
          </w:tcPr>
          <w:p>
            <w:r/>
            <w:r>
              <w:rPr>
                <w:b w:val="0"/>
                <w:sz w:val="19"/>
              </w:rPr>
              <w:t>5</w:t>
            </w:r>
          </w:p>
        </w:tc>
        <w:tc>
          <w:tcPr>
            <w:tcW w:type="dxa" w:w="3408"/>
            <w:vAlign w:val="center"/>
          </w:tcPr>
          <w:p>
            <w:r/>
            <w:r>
              <w:rPr>
                <w:b w:val="0"/>
                <w:sz w:val="19"/>
              </w:rPr>
              <w:t>Creativity, practicality and feasibility within the hackathon constraints.</w:t>
            </w:r>
          </w:p>
        </w:tc>
      </w:tr>
      <w:tr>
        <w:tc>
          <w:tcPr>
            <w:tcW w:type="dxa" w:w="3408"/>
            <w:vAlign w:val="center"/>
            <w:shd w:fill="EAF2F8"/>
          </w:tcPr>
          <w:p>
            <w:r/>
            <w:r>
              <w:rPr>
                <w:b/>
                <w:sz w:val="19"/>
              </w:rPr>
              <w:t>TOTAL</w:t>
            </w:r>
          </w:p>
        </w:tc>
        <w:tc>
          <w:tcPr>
            <w:tcW w:type="dxa" w:w="3408"/>
            <w:vAlign w:val="center"/>
            <w:shd w:fill="EAF2F8"/>
          </w:tcPr>
          <w:p>
            <w:r/>
            <w:r>
              <w:rPr>
                <w:b/>
                <w:sz w:val="19"/>
              </w:rPr>
              <w:t>30</w:t>
            </w:r>
          </w:p>
        </w:tc>
        <w:tc>
          <w:tcPr>
            <w:tcW w:type="dxa" w:w="3408"/>
            <w:vAlign w:val="center"/>
            <w:shd w:fill="EAF2F8"/>
          </w:tcPr>
          <w:p>
            <w:r/>
            <w:r>
              <w:rPr>
                <w:b/>
                <w:sz w:val="19"/>
              </w:rPr>
            </w:r>
          </w:p>
        </w:tc>
      </w:tr>
    </w:tbl>
    <w:p/>
    <w:p>
      <w:pPr>
        <w:pStyle w:val="Heading1"/>
      </w:pPr>
      <w:r>
        <w:t>11. Event Timeline — 14 October 2026</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9"/>
              </w:rPr>
              <w:t>Time</w:t>
            </w:r>
          </w:p>
        </w:tc>
        <w:tc>
          <w:tcPr>
            <w:tcW w:type="dxa" w:w="5112"/>
            <w:vAlign w:val="center"/>
            <w:shd w:fill="D9EAF7"/>
          </w:tcPr>
          <w:p>
            <w:r/>
            <w:r>
              <w:rPr>
                <w:b/>
                <w:sz w:val="19"/>
              </w:rPr>
              <w:t>Activity</w:t>
            </w:r>
          </w:p>
        </w:tc>
      </w:tr>
      <w:tr>
        <w:tc>
          <w:tcPr>
            <w:tcW w:type="dxa" w:w="5112"/>
            <w:vAlign w:val="center"/>
          </w:tcPr>
          <w:p>
            <w:r/>
            <w:r>
              <w:rPr>
                <w:b w:val="0"/>
                <w:sz w:val="19"/>
              </w:rPr>
              <w:t>8:30 – 8:45 AM</w:t>
            </w:r>
          </w:p>
        </w:tc>
        <w:tc>
          <w:tcPr>
            <w:tcW w:type="dxa" w:w="5112"/>
            <w:vAlign w:val="center"/>
          </w:tcPr>
          <w:p>
            <w:r/>
            <w:r>
              <w:rPr>
                <w:b w:val="0"/>
                <w:sz w:val="19"/>
              </w:rPr>
              <w:t>Opening Ceremony &amp; Welcome</w:t>
            </w:r>
          </w:p>
        </w:tc>
      </w:tr>
      <w:tr>
        <w:tc>
          <w:tcPr>
            <w:tcW w:type="dxa" w:w="5112"/>
            <w:vAlign w:val="center"/>
          </w:tcPr>
          <w:p>
            <w:r/>
            <w:r>
              <w:rPr>
                <w:b w:val="0"/>
                <w:sz w:val="19"/>
              </w:rPr>
              <w:t>8:45 – 9:00 AM</w:t>
            </w:r>
          </w:p>
        </w:tc>
        <w:tc>
          <w:tcPr>
            <w:tcW w:type="dxa" w:w="5112"/>
            <w:vAlign w:val="center"/>
          </w:tcPr>
          <w:p>
            <w:r/>
            <w:r>
              <w:rPr>
                <w:b w:val="0"/>
                <w:sz w:val="19"/>
              </w:rPr>
              <w:t>Hackathon Briefing, Rules, Evaluation Criteria &amp; Problem-Statement Instructions</w:t>
            </w:r>
          </w:p>
        </w:tc>
      </w:tr>
      <w:tr>
        <w:tc>
          <w:tcPr>
            <w:tcW w:type="dxa" w:w="5112"/>
            <w:vAlign w:val="center"/>
          </w:tcPr>
          <w:p>
            <w:r/>
            <w:r>
              <w:rPr>
                <w:b w:val="0"/>
                <w:sz w:val="19"/>
              </w:rPr>
              <w:t>9:00 – 9:30 AM</w:t>
            </w:r>
          </w:p>
        </w:tc>
        <w:tc>
          <w:tcPr>
            <w:tcW w:type="dxa" w:w="5112"/>
            <w:vAlign w:val="center"/>
          </w:tcPr>
          <w:p>
            <w:r/>
            <w:r>
              <w:rPr>
                <w:b w:val="0"/>
                <w:sz w:val="19"/>
              </w:rPr>
              <w:t>Round 1 — Opening Technical Quiz (10 marks)</w:t>
            </w:r>
          </w:p>
        </w:tc>
      </w:tr>
      <w:tr>
        <w:tc>
          <w:tcPr>
            <w:tcW w:type="dxa" w:w="5112"/>
            <w:vAlign w:val="center"/>
          </w:tcPr>
          <w:p>
            <w:r/>
            <w:r>
              <w:rPr>
                <w:b w:val="0"/>
                <w:sz w:val="19"/>
              </w:rPr>
              <w:t>9:30 – 10:30 AM</w:t>
            </w:r>
          </w:p>
        </w:tc>
        <w:tc>
          <w:tcPr>
            <w:tcW w:type="dxa" w:w="5112"/>
            <w:vAlign w:val="center"/>
          </w:tcPr>
          <w:p>
            <w:r/>
            <w:r>
              <w:rPr>
                <w:b w:val="0"/>
                <w:sz w:val="19"/>
              </w:rPr>
              <w:t>Development / Problem Analysis / AI &amp; Full-Stack Work in Parallel</w:t>
            </w:r>
          </w:p>
        </w:tc>
      </w:tr>
      <w:tr>
        <w:tc>
          <w:tcPr>
            <w:tcW w:type="dxa" w:w="5112"/>
            <w:vAlign w:val="center"/>
          </w:tcPr>
          <w:p>
            <w:r/>
            <w:r>
              <w:rPr>
                <w:b w:val="0"/>
                <w:sz w:val="19"/>
              </w:rPr>
              <w:t>10:30 – 10:45 AM</w:t>
            </w:r>
          </w:p>
        </w:tc>
        <w:tc>
          <w:tcPr>
            <w:tcW w:type="dxa" w:w="5112"/>
            <w:vAlign w:val="center"/>
          </w:tcPr>
          <w:p>
            <w:r/>
            <w:r>
              <w:rPr>
                <w:b w:val="0"/>
                <w:sz w:val="19"/>
              </w:rPr>
              <w:t>Tea Break</w:t>
            </w:r>
          </w:p>
        </w:tc>
      </w:tr>
      <w:tr>
        <w:tc>
          <w:tcPr>
            <w:tcW w:type="dxa" w:w="5112"/>
            <w:vAlign w:val="center"/>
          </w:tcPr>
          <w:p>
            <w:r/>
            <w:r>
              <w:rPr>
                <w:b w:val="0"/>
                <w:sz w:val="19"/>
              </w:rPr>
              <w:t>10:45 AM – 12:00 PM</w:t>
            </w:r>
          </w:p>
        </w:tc>
        <w:tc>
          <w:tcPr>
            <w:tcW w:type="dxa" w:w="5112"/>
            <w:vAlign w:val="center"/>
          </w:tcPr>
          <w:p>
            <w:r/>
            <w:r>
              <w:rPr>
                <w:b w:val="0"/>
                <w:sz w:val="19"/>
              </w:rPr>
              <w:t>Round 2 — Midpoint Project Review (30 marks)</w:t>
            </w:r>
          </w:p>
        </w:tc>
      </w:tr>
      <w:tr>
        <w:tc>
          <w:tcPr>
            <w:tcW w:type="dxa" w:w="5112"/>
            <w:vAlign w:val="center"/>
          </w:tcPr>
          <w:p>
            <w:r/>
            <w:r>
              <w:rPr>
                <w:b w:val="0"/>
                <w:sz w:val="19"/>
              </w:rPr>
              <w:t>12:00 – 12:30 PM</w:t>
            </w:r>
          </w:p>
        </w:tc>
        <w:tc>
          <w:tcPr>
            <w:tcW w:type="dxa" w:w="5112"/>
            <w:vAlign w:val="center"/>
          </w:tcPr>
          <w:p>
            <w:r/>
            <w:r>
              <w:rPr>
                <w:b w:val="0"/>
                <w:sz w:val="19"/>
              </w:rPr>
              <w:t>Lunch Break</w:t>
            </w:r>
          </w:p>
        </w:tc>
      </w:tr>
      <w:tr>
        <w:tc>
          <w:tcPr>
            <w:tcW w:type="dxa" w:w="5112"/>
            <w:vAlign w:val="center"/>
          </w:tcPr>
          <w:p>
            <w:r/>
            <w:r>
              <w:rPr>
                <w:b w:val="0"/>
                <w:sz w:val="19"/>
              </w:rPr>
              <w:t>12:30 – 3:30 PM</w:t>
            </w:r>
          </w:p>
        </w:tc>
        <w:tc>
          <w:tcPr>
            <w:tcW w:type="dxa" w:w="5112"/>
            <w:vAlign w:val="center"/>
          </w:tcPr>
          <w:p>
            <w:r/>
            <w:r>
              <w:rPr>
                <w:b w:val="0"/>
                <w:sz w:val="19"/>
              </w:rPr>
              <w:t>Final Development, Full-Stack Integration &amp; Testing</w:t>
            </w:r>
          </w:p>
        </w:tc>
      </w:tr>
      <w:tr>
        <w:tc>
          <w:tcPr>
            <w:tcW w:type="dxa" w:w="5112"/>
            <w:vAlign w:val="center"/>
          </w:tcPr>
          <w:p>
            <w:r/>
            <w:r>
              <w:rPr>
                <w:b w:val="0"/>
                <w:sz w:val="19"/>
              </w:rPr>
              <w:t>3:30 – 4:20 PM</w:t>
            </w:r>
          </w:p>
        </w:tc>
        <w:tc>
          <w:tcPr>
            <w:tcW w:type="dxa" w:w="5112"/>
            <w:vAlign w:val="center"/>
          </w:tcPr>
          <w:p>
            <w:r/>
            <w:r>
              <w:rPr>
                <w:b w:val="0"/>
                <w:sz w:val="19"/>
              </w:rPr>
              <w:t>Round 3 — Final Demo &amp; Evaluation (60 marks)</w:t>
            </w:r>
          </w:p>
        </w:tc>
      </w:tr>
      <w:tr>
        <w:tc>
          <w:tcPr>
            <w:tcW w:type="dxa" w:w="5112"/>
            <w:vAlign w:val="center"/>
          </w:tcPr>
          <w:p>
            <w:r/>
            <w:r>
              <w:rPr>
                <w:b w:val="0"/>
                <w:sz w:val="19"/>
              </w:rPr>
              <w:t>4:20 – 4:30 PM</w:t>
            </w:r>
          </w:p>
        </w:tc>
        <w:tc>
          <w:tcPr>
            <w:tcW w:type="dxa" w:w="5112"/>
            <w:vAlign w:val="center"/>
          </w:tcPr>
          <w:p>
            <w:r/>
            <w:r>
              <w:rPr>
                <w:b w:val="0"/>
                <w:sz w:val="19"/>
              </w:rPr>
              <w:t>Hackathon Closing &amp; Submission Confirmation</w:t>
            </w:r>
          </w:p>
        </w:tc>
      </w:tr>
    </w:tbl>
    <w:p/>
    <w:p>
      <w:r>
        <w:t>Tea and lunch breaks are scheduled for participant convenience. Teams may continue working during these periods if permitted by venue and organizers.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Draft for planning purposes | IEEE CS × IEEE CIS | Amrita Vishwa Vidyapeetham, Chennai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