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pStyle w:val="Heading1"/>
      </w:pPr>
      <w:r>
        <w:rPr>
          <w:rFonts w:ascii="Times New Roman" w:hAnsi="Times New Roman"/>
        </w:rPr>
        <w:t>STAT 4104 – Categorical Data Analysis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STAT 4104 – Categorical Data Analysis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/>
          <w:sz w:val="24"/>
        </w:rPr>
        <w:t>Lung Cancer Dataset Analysis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/>
          <w:sz w:val="24"/>
        </w:rPr>
        <w:t>Key Findings: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Smoking is strongly associated with lung disease.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Pollution exposure significantly increases disease risk.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Older individuals are more likely to develop lung disease.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Logistic regression identified Smoking, Pollution, and Age as significant predictors.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AUC ≈ 0.787 indicating good model performance.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/>
          <w:sz w:val="24"/>
        </w:rPr>
        <w:t>Important Statistical Results: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Chi-square test p-value &lt; 0.001 for Smoking vs Lung Disease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Odds Ratio for Smoking ≈ 5.03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Accuracy ≈ 71.2%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Sensitivity ≈ 75.8%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Specificity ≈ 66.1%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Times New Roman" w:hAnsi="Times New Roman"/>
          <w:sz w:val="24"/>
        </w:rPr>
        <w:t>Public Health Implications: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Smoking cessation programs should be strengthened.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Pollution control policies are necessary.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- Early screening is important for smokers and older adults.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