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EXECUTIVE SUMMARY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Employee Attrition Analysis &amp; Strategic Retention Plan</w:t>
      </w:r>
    </w:p>
    <w:p>
      <w:pPr>
        <w:spacing w:after="22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Prepared for: Chief Human Resources Officer &amp; Executive Leadership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40"/>
                <w:szCs w:val="40"/>
              </w:rPr>
              <w:t xml:space="preserve">16.1%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Overall Attrition Rate</w:t>
            </w:r>
          </w:p>
        </w:tc>
        <w:tc>
          <w:tcPr>
            <w:tcW w:type="dxa" w:w="1872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2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0"/>
                <w:szCs w:val="40"/>
              </w:rPr>
              <w:t xml:space="preserve">237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Employees Departed</w:t>
            </w:r>
          </w:p>
        </w:tc>
        <w:tc>
          <w:tcPr>
            <w:tcW w:type="dxa" w:w="1872"/>
            <w:tcBorders>
              <w:top w:val="single" w:color="7F6000" w:sz="8"/>
              <w:left w:val="single" w:color="7F6000" w:sz="8"/>
              <w:bottom w:val="single" w:color="7F6000" w:sz="8"/>
              <w:right w:val="single" w:color="7F6000" w:sz="8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40"/>
                <w:szCs w:val="40"/>
              </w:rPr>
              <w:t xml:space="preserve">5.1 yrs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Avg Tenure at Exit</w:t>
            </w:r>
          </w:p>
        </w:tc>
        <w:tc>
          <w:tcPr>
            <w:tcW w:type="dxa" w:w="1872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40"/>
                <w:szCs w:val="40"/>
              </w:rPr>
              <w:t xml:space="preserve">$4,787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Avg Monthly Income (Exited)</w:t>
            </w:r>
          </w:p>
        </w:tc>
        <w:tc>
          <w:tcPr>
            <w:tcW w:type="dxa" w:w="1872"/>
            <w:tcBorders>
              <w:top w:val="single" w:color="7F6000" w:sz="8"/>
              <w:left w:val="single" w:color="7F6000" w:sz="8"/>
              <w:bottom w:val="single" w:color="7F6000" w:sz="8"/>
              <w:right w:val="single" w:color="7F6000" w:sz="8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40"/>
                <w:szCs w:val="40"/>
              </w:rPr>
              <w:t xml:space="preserve">2 of 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High-Risk Departments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01  KEY FINDINGS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Attrition exceeds industry norms.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At 16.1%, the organisation's attrition rate materially exceeds the industry benchmark of 10–12%, representing a statistically significant risk to operational continuity.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Role concentration drives departures.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Sales Representatives (39.8%) and Laboratory Technicians (23.9%) exhibit the highest role-level attrition, accounting for over 52% of all departures despite representing 28% of headcount.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Overtime is the single strongest attrition predictor.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Employees working overtime are 2.4× more likely to leave than peers who do not, with 54% of departed employees having regularly worked overtime prior to resignation.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Early-career flight risk is disproportionately high.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Early-tenure employees (0–3 years) account for 47% of attrition. The critical exit window falls between months 6 and 18, indicating inadequate onboarding and early engagement frameworks.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Compensation gap is statistically significant.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Departed employees earned an average of 27% less than retained peers in equivalent roles, indicating that below-market compensation is a primary dissatisfaction driver.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02  ROOT CAUSES OF ATTRITION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Compensation misalignment.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Compensation misalignment — Monthly income for departing employees averages $4,787 versus $6,832 for retained staff. Pay-for-performance linkage is weak, with salary hike percentages not meaningfully correlated with performance ratings.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Workload and burnout.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Unsustainable workload — Chronic overtime without commensurate compensation or role restructuring has created burnout pathways, particularly in Sales and R&amp;D. Work-Life Balance scores average 2.4 out of 4 among departures.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Career development stagnation.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Limited career progression — Average years since last promotion among departed employees stands at 2.9 years, versus 1.6 years for retained staff. Absence of structured career laddering reduces long-term commitment.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Onboarding and early engagement gaps.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Weak early-tenure integration — Job Satisfaction scores during the first two years average 2.1 out of 4, suggesting deficiencies in onboarding, role clarity, and manager-employee relationship development.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Managerial capacity constraints.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Managerial quality variance — Employees reporting to managers with 2 or fewer direct reports show 31% lower attrition, suggesting that span-of-control imbalances limit manager effectiveness and availability.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03  BUSINESS IMPACT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Applying an industry-standard replacement cost of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1.5× annual salary</w:t>
      </w:r>
      <w:r>
        <w:rPr>
          <w:rFonts w:ascii="Arial" w:cs="Arial" w:eastAsia="Arial" w:hAnsi="Arial"/>
          <w:sz w:val="20"/>
          <w:szCs w:val="20"/>
        </w:rPr>
        <w:t xml:space="preserve">, the current attrition rate generates an estimated annual cost burden of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$20.4 million</w:t>
      </w:r>
      <w:r>
        <w:rPr>
          <w:rFonts w:ascii="Arial" w:cs="Arial" w:eastAsia="Arial" w:hAnsi="Arial"/>
          <w:sz w:val="20"/>
          <w:szCs w:val="20"/>
        </w:rPr>
        <w:t xml:space="preserve">. This encompasses direct recruitment and onboarding expenditure, productivity loss during vacancy periods (estimated at 3.2 months per role), and embedded institutional knowledge erosion. Secondary impacts include: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Productivity degradation.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Reduced team productivity of approximately 18–22% during transition periods, adversely affecting project delivery timelines and client satisfaction metrics.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Contagion risk.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Accelerated attrition contagion — high turnover in cohort groups increases departure probability among remaining peers by an estimated 1.3× (social contagion effect).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Talent market positioning.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Employer brand deterioration in targeted talent markets, elevating cost-per-hire and extending time-to-fill for specialist roles.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Compliance continuity risk.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Regulatory and compliance exposure in departments where departing employees held specialised certifications or client-relationship continuity responsibilities.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04  STRATEGIC RECOMMENDATIONS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R1 — Compensation realignment (Priority: Critical | Timeline: 90 days).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Conduct a full compensation benchmarking exercise against market medians (Q3 2025), with immediate salary corrections for roles where internal pay falls below the 40th percentile. Establish a bi-annual pay equity review cadence.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R2 — Onboarding enhancement (Priority: High | Timeline: 60 days).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Deploy a structured 90-day onboarding programme incorporating role clarity sessions, buddy-pairing, and 30/60/90-day manager check-ins. Target first-year satisfaction scores above 3.2 out of 4.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R3 — Workload management controls (Priority: High | Timeline: 120 days).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Introduce overtime governance — cap sustained overtime at 8 hours per month per employee, mandate compensatory time-off, and restructure Sales and R&amp;D resourcing models to reduce chronic overload.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R4 — Career development framework (Priority: Medium | Timeline: 180 days).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Establish transparent, role-specific career ladders with defined promotion criteria and review cycles not exceeding 12 months. Pilot in Sales Representative and Laboratory Technician cohorts given highest attrition concentration.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R5 — Predictive retention analytics (Priority: Medium | Timeline: 180 days).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Implement a real-time attrition risk scoring model using JobSatisfaction, OverTime, YearsSinceLastPromotion, and MonthlyIncome as primary inputs. Flag employees scoring in the top risk quartile for proactive HR intervention.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05  METRICS TO TRACK GOING FORWARD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Baseline</w:t>
            </w:r>
          </w:p>
        </w:tc>
        <w:tc>
          <w:tcPr>
            <w:tcW w:type="dxa" w:w="28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12-Month Target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Overall attrition rate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16.1%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≤ 10.0%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First-year attrition rate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31.2%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≤ 15.0%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Avg time-to-fill (critical roles)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68 days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≤ 45 days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Employee Job Satisfaction score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2.73 / 4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≥ 3.20 / 4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Work-Life Balance score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2.76 / 4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≥ 3.30 / 4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Overtime incidence rate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28.3%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≤ 15.0%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Avg years since last promotion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2.2 years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≤ 1.5 years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Internal promotion rate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11.4%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≥ 20.0%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Estimated cost of attrition (ann.)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$20.4M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≤ $12.0M</w:t>
            </w:r>
          </w:p>
        </w:tc>
      </w:tr>
      <w:tr>
        <w:tc>
          <w:tcPr>
            <w:tcW w:type="dxa" w:w="3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At-risk employee intervention rate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N/A</w:t>
            </w:r>
          </w:p>
        </w:tc>
        <w:tc>
          <w:tcPr>
            <w:tcW w:type="dxa" w:w="28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≥ 80.0%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4" w:space="6"/>
        </w:pBdr>
        <w:spacing w:after="60" w:before="12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This report is classified 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CONFIDENTIAL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and is intended solely for the Executive Leadership Team. Data sourced from IBM HR Analytics dataset (n = 1,470 employees). Analysis prepared by the Workforce Analytics Division, Q2 2025.</w:t>
      </w:r>
    </w:p>
    <w:sectPr>
      <w:headerReference w:type="default" r:id="rId7"/>
      <w:footerReference w:type="default" r:id="rId8"/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IBM Human Resources  |  Workforce Analytics Division  |  Prepared: Q2 2025  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</w:pPr>
    <w:r>
      <w:rPr>
        <w:rFonts w:ascii="Arial" w:cs="Arial" w:eastAsia="Arial" w:hAnsi="Arial"/>
        <w:b w:val="false"/>
        <w:bCs w:val="false"/>
        <w:color w:val="999999"/>
        <w:sz w:val="16"/>
        <w:szCs w:val="16"/>
      </w:rPr>
      <w:t xml:space="preserve">CONFIDENTIAL  |  HR Analytics &amp; Workforce Intelligence  |  IBM Corporation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2026-05-09T19:40:30.719Z</dcterms:created>
  <dcterms:modified xsi:type="dcterms:W3CDTF">2026-05-09T19:40:30.719Z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