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color w:val="1F4E78"/>
        </w:rPr>
        <w:t>Office of the Controller — Q2 2026 Flash Report</w:t>
      </w:r>
    </w:p>
    <w:p>
      <w:pPr>
        <w:jc w:val="left"/>
      </w:pPr>
      <w:r>
        <w:rPr>
          <w:rFonts w:ascii="Calibri" w:hAnsi="Calibri" w:eastAsia="Calibri"/>
          <w:color w:val="606060"/>
          <w:sz w:val="19"/>
        </w:rPr>
        <w:t>Quarter ended 30 June 2026 · unaudited management information · prepared from the Q2 reporting pack</w:t>
      </w:r>
    </w:p>
    <w:p>
      <w:pPr>
        <w:pStyle w:val="Heading1"/>
      </w:pPr>
      <w:r>
        <w:rPr>
          <w:rFonts w:ascii="Calibri" w:hAnsi="Calibri" w:eastAsia="Calibri"/>
          <w:color w:val="1F4E78"/>
        </w:rPr>
        <w:t>Executive summary</w:t>
      </w:r>
    </w:p>
    <w:p>
      <w:pPr>
        <w:pStyle w:val="ListBullet"/>
      </w:pPr>
      <w:r>
        <w:rPr>
          <w:rFonts w:ascii="Calibri" w:hAnsi="Calibri" w:eastAsia="Calibri"/>
        </w:rPr>
        <w:t>H1 administrative spend of USD 45.3m against an H1 budget of USD 48.0m — 94.4% utilization, i.e. the Bank is USD 2.7m under budget at the half year.</w:t>
      </w:r>
    </w:p>
    <w:p>
      <w:pPr>
        <w:pStyle w:val="ListBullet"/>
      </w:pPr>
      <w:r>
        <w:rPr>
          <w:rFonts w:ascii="Calibri" w:hAnsi="Calibri" w:eastAsia="Calibri"/>
        </w:rPr>
        <w:t>Information Technology is the only department over budget, at 107.6%; at the other end, Economics &amp; Strategy has used only 80.3% of its H1 budget. Aggregate underspend is therefore concentrated, not general.</w:t>
      </w:r>
    </w:p>
    <w:p>
      <w:pPr>
        <w:pStyle w:val="ListBullet"/>
      </w:pPr>
      <w:r>
        <w:rPr>
          <w:rFonts w:ascii="Calibri" w:hAnsi="Calibri" w:eastAsia="Calibri"/>
        </w:rPr>
        <w:t>Monthly spend rose 59% from 2026-01 to 2026-06 (USD 6,165,602 → USD 9,815,560), so H2 run-rate pressure is building even while H1 closed under budget.</w:t>
      </w:r>
    </w:p>
    <w:p>
      <w:pPr>
        <w:pStyle w:val="Heading1"/>
      </w:pPr>
      <w:r>
        <w:rPr>
          <w:rFonts w:ascii="Calibri" w:hAnsi="Calibri" w:eastAsia="Calibri"/>
          <w:color w:val="1F4E78"/>
        </w:rPr>
        <w:t>Key indicators</w:t>
      </w:r>
    </w:p>
    <w:p>
      <w:r>
        <w:rPr>
          <w:rFonts w:ascii="Calibri" w:hAnsi="Calibri" w:eastAsia="Calibri"/>
        </w:rPr>
        <w:t>Six indicators against the prior period. Processing days and AP exceptions both improved; volumes and spend both rose.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Indicator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Q2 / H1 2026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Prior period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Admin expenses H1 2026 (USD m)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45.3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41.2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vs H1 2025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H1 budget utilization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94.4%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91.8%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share of H1 budget consumed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Quarter-end accruals booked (USD m)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3.4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2.9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vs Q1 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Invoices processed in Q2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1,284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1,130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Avg. invoice processing days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8.4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9.6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received-to-approval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Exceptions flagged in AP register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duplicates, format issues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E78"/>
        </w:rPr>
        <w:t>Budget position</w:t>
      </w:r>
    </w:p>
    <w:p>
      <w:r>
        <w:rPr>
          <w:rFonts w:ascii="Calibri" w:hAnsi="Calibri" w:eastAsia="Calibri"/>
        </w:rPr>
        <w:t>Bank-wide H1 utilization is 94.4% (USD 45,323,046 against USD 48,000,002). Information Technology is the only department above budget at 107.6%; Economics &amp; Strategy is the furthest below at 80.3%. The aggregate figure is therefore not a good description of any individual department, which is why the line-level view below matters.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Department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H1 actual (USD)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H1 budget (USD)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Utilization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Information Technology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9,300,115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8,640,001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107.6%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Human Resources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3,230,852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3,360,000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96.2%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Investment Operations - Infrastructure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7,293,071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7,680,000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95.0%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Investment Operations - Energy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5,904,674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6,239,999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94.6%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Risk Management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3,542,480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3,840,000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92.3%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Legal &amp; Compliance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3,457,697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3,840,001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90.0%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Corporate Services &amp; Facilities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4,307,091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4,800,001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89.7%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Office of the Controller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3,805,304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4,320,001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88.1%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Treasury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2,939,210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3,359,999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87.5%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Economics &amp; Strategy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1,542,552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1,920,000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80.3%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E78"/>
        </w:rPr>
        <w:t>Monthly trend</w:t>
      </w:r>
    </w:p>
    <w:p>
      <w:r>
        <w:rPr>
          <w:rFonts w:ascii="Calibri" w:hAnsi="Calibri" w:eastAsia="Calibri"/>
        </w:rPr>
        <w:t>Spend accelerated through the half year: 2026-01 USD 6,165,602 → 2026-06 USD 9,815,560, a 59% increase, with the usual quarter-end peaks in March and June. Invoice volume rose in step (175 → 278 invoices).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Month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Admin expenses (USD)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Invoices processed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2026-01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6,165,602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175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2026-02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6,139,230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174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2026-03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6,538,913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185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2026-04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8,114,542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230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2026-05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8,549,199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242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2026-06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9,815,560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278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E78"/>
        </w:rPr>
        <w:t>Top vendors</w:t>
      </w:r>
    </w:p>
    <w:p>
      <w:r>
        <w:rPr>
          <w:rFonts w:ascii="Calibri" w:hAnsi="Calibri" w:eastAsia="Calibri"/>
        </w:rPr>
        <w:t>The ten largest vendors account for USD 23,196,487 of H1 spend; the top three alone are USD 10,404,549 (45% of the top-ten total) — a concentration worth monitoring for supplier dependency.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Vendor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Country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H1 spend (USD)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Invoices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Quantex Data Systems Ltd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Ireland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4,096,488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Meridian Advisory Group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United Kingdom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3,584,971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Whitfield Actuarial Services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United States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2,723,090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21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Zenith Audio Visual Services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China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2,507,035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42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Cobalt Print &amp; Design Studio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China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2,503,593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39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Jadeway Office Supplies 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China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2,042,242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Ironclad Insurance Brokers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United Kingdom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1,725,070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59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Redwood Environmental Advisors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Canada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1,713,415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Everstone Office Systems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China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1,442,305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Grand Pavilion Catering &amp; Events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China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858,278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49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E78"/>
        </w:rPr>
        <w:t>Open items</w:t>
      </w:r>
    </w:p>
    <w:p>
      <w:r>
        <w:rPr>
          <w:rFonts w:ascii="Calibri" w:hAnsi="Calibri" w:eastAsia="Calibri"/>
        </w:rPr>
        <w:t>5 items remain open from the Q2 close. Items 1–3 arise from the accrual and accounts-payable reviews; item 4 follows the IT budget overrun; item 5 covers the flagged investment valuations.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/>
              </w:rPr>
              <w:t>Item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/>
              </w:rPr>
              <w:t>Owner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/>
              </w:rPr>
              <w:t>Due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Unmatched vendor IDs in accrual file (2 vendors)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AP Team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2026-07-10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In progress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3 POs without delivery confirmation - chase departments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Accruals Team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2026-07-08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Open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Duplicate invoice INV re-submission - confirm with vendor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AP Team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2026-07-12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Open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IT software license overrun - budget transfer request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Budget Team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2026-07-20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Draft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Q2 valuation review notes for 2 flagged investments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Reporting Team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2026-07-15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</w:rPr>
              <w:t>Open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E78"/>
        </w:rPr>
        <w:t>Matters for the Controller's attention</w:t>
      </w:r>
    </w:p>
    <w:p>
      <w:pPr>
        <w:pStyle w:val="ListBullet"/>
      </w:pPr>
      <w:r>
        <w:rPr>
          <w:rFonts w:ascii="Calibri" w:hAnsi="Calibri" w:eastAsia="Calibri"/>
        </w:rPr>
        <w:t>Information Technology's overrun (107.6%) is the only budget breach and is driven by software licences; a budget transfer request is in draft (open item 4).</w:t>
      </w:r>
    </w:p>
    <w:p>
      <w:pPr>
        <w:pStyle w:val="ListBullet"/>
      </w:pPr>
      <w:r>
        <w:rPr>
          <w:rFonts w:ascii="Calibri" w:hAnsi="Calibri" w:eastAsia="Calibri"/>
        </w:rPr>
        <w:t>Economics &amp; Strategy's 80.3% utilization should be confirmed as timing rather than a delivery shortfall before the H2 forecast is set.</w:t>
      </w:r>
    </w:p>
    <w:p>
      <w:pPr>
        <w:pStyle w:val="ListBullet"/>
      </w:pPr>
      <w:r>
        <w:rPr>
          <w:rFonts w:ascii="Calibri" w:hAnsi="Calibri" w:eastAsia="Calibri"/>
        </w:rPr>
        <w:t>Three purchase orders remain without delivery confirmation and are therefore accrued at zero; the exposure is disclosed rather than estimated (open item 2).</w:t>
      </w:r>
    </w:p>
    <w:p>
      <w:r>
        <w:rPr>
          <w:rFonts w:ascii="Calibri" w:hAnsi="Calibri" w:eastAsia="Calibri"/>
          <w:color w:val="606060"/>
          <w:sz w:val="18"/>
        </w:rPr>
        <w:t>Prepared from the Q2 2026 reporting pack. All figures are unaudited management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