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3247631"/>
        <w:docPartObj>
          <w:docPartGallery w:val="Cover Pages"/>
          <w:docPartUnique/>
        </w:docPartObj>
      </w:sdtPr>
      <w:sdtContent>
        <w:p w14:paraId="06D3DA8A" w14:textId="24378D26" w:rsidR="00186EAE" w:rsidRDefault="00186EAE">
          <w:r>
            <w:rPr>
              <w:noProof/>
            </w:rPr>
            <mc:AlternateContent>
              <mc:Choice Requires="wpg">
                <w:drawing>
                  <wp:anchor distT="0" distB="0" distL="114300" distR="114300" simplePos="0" relativeHeight="251658240" behindDoc="1" locked="0" layoutInCell="1" allowOverlap="1" wp14:anchorId="0873A705" wp14:editId="57DB17D9">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75B772" w14:textId="1142A7AC" w:rsidR="00186EAE" w:rsidRDefault="00186EAE">
                                      <w:pPr>
                                        <w:pStyle w:val="NoSpacing"/>
                                        <w:spacing w:before="120"/>
                                        <w:jc w:val="center"/>
                                        <w:rPr>
                                          <w:color w:val="FFFFFF" w:themeColor="background1"/>
                                        </w:rPr>
                                      </w:pPr>
                                      <w:r>
                                        <w:rPr>
                                          <w:color w:val="FFFFFF" w:themeColor="background1"/>
                                        </w:rPr>
                                        <w:t>Rick Abraham</w:t>
                                      </w:r>
                                    </w:p>
                                  </w:sdtContent>
                                </w:sdt>
                                <w:p w14:paraId="220B5A5F" w14:textId="65DC7C88" w:rsidR="00186EAE"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5403">
                                        <w:rPr>
                                          <w:caps/>
                                          <w:color w:val="FFFFFF" w:themeColor="background1"/>
                                        </w:rPr>
                                        <w:t>My Company</w:t>
                                      </w:r>
                                    </w:sdtContent>
                                  </w:sdt>
                                  <w:r w:rsidR="00186E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75403">
                                        <w:rPr>
                                          <w:color w:val="FFFFFF" w:themeColor="background1"/>
                                        </w:rPr>
                                        <w:t>Dallas, TX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6C4617" w14:textId="690FB9A2" w:rsidR="00186EAE" w:rsidRDefault="00186EAE">
                                      <w:pPr>
                                        <w:pStyle w:val="NoSpacing"/>
                                        <w:jc w:val="center"/>
                                        <w:rPr>
                                          <w:rFonts w:asciiTheme="majorHAnsi" w:eastAsiaTheme="majorEastAsia" w:hAnsiTheme="majorHAnsi" w:cstheme="majorBidi"/>
                                          <w:caps/>
                                          <w:color w:val="156082" w:themeColor="accent1"/>
                                          <w:sz w:val="72"/>
                                          <w:szCs w:val="72"/>
                                        </w:rPr>
                                      </w:pPr>
                                      <w:r w:rsidRPr="00186EAE">
                                        <w:rPr>
                                          <w:rFonts w:asciiTheme="majorHAnsi" w:eastAsiaTheme="majorEastAsia" w:hAnsiTheme="majorHAnsi" w:cstheme="majorBidi"/>
                                          <w:caps/>
                                          <w:color w:val="156082" w:themeColor="accent1"/>
                                          <w:sz w:val="72"/>
                                          <w:szCs w:val="72"/>
                                        </w:rPr>
                                        <w:t xml:space="preserve">Risk Assessment </w:t>
                                      </w:r>
                                      <w:r w:rsidR="009C7D06">
                                        <w:rPr>
                                          <w:rFonts w:asciiTheme="majorHAnsi" w:eastAsiaTheme="majorEastAsia" w:hAnsiTheme="majorHAnsi" w:cstheme="majorBidi"/>
                                          <w:caps/>
                                          <w:color w:val="156082" w:themeColor="accent1"/>
                                          <w:sz w:val="72"/>
                                          <w:szCs w:val="72"/>
                                        </w:rPr>
                                        <w:t>–</w:t>
                                      </w:r>
                                      <w:r w:rsidRPr="00186EAE">
                                        <w:rPr>
                                          <w:rFonts w:asciiTheme="majorHAnsi" w:eastAsiaTheme="majorEastAsia" w:hAnsiTheme="majorHAnsi" w:cstheme="majorBidi"/>
                                          <w:caps/>
                                          <w:color w:val="156082" w:themeColor="accent1"/>
                                          <w:sz w:val="72"/>
                                          <w:szCs w:val="72"/>
                                        </w:rPr>
                                        <w:t xml:space="preserve"> </w:t>
                                      </w:r>
                                      <w:r w:rsidR="009C7D06">
                                        <w:rPr>
                                          <w:rFonts w:asciiTheme="majorHAnsi" w:eastAsiaTheme="majorEastAsia" w:hAnsiTheme="majorHAnsi" w:cstheme="majorBidi"/>
                                          <w:caps/>
                                          <w:color w:val="156082" w:themeColor="accent1"/>
                                          <w:sz w:val="72"/>
                                          <w:szCs w:val="72"/>
                                        </w:rPr>
                                        <w:t>Data Privacy</w:t>
                                      </w:r>
                                      <w:r w:rsidRPr="00186EAE">
                                        <w:rPr>
                                          <w:rFonts w:asciiTheme="majorHAnsi" w:eastAsiaTheme="majorEastAsia" w:hAnsiTheme="majorHAnsi" w:cstheme="majorBidi"/>
                                          <w:caps/>
                                          <w:color w:val="156082" w:themeColor="accent1"/>
                                          <w:sz w:val="72"/>
                                          <w:szCs w:val="72"/>
                                        </w:rPr>
                                        <w:t xml:space="preserve"> Risks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873A705" id="Group 198"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F75B772" w14:textId="1142A7AC" w:rsidR="00186EAE" w:rsidRDefault="00186EAE">
                                <w:pPr>
                                  <w:pStyle w:val="NoSpacing"/>
                                  <w:spacing w:before="120"/>
                                  <w:jc w:val="center"/>
                                  <w:rPr>
                                    <w:color w:val="FFFFFF" w:themeColor="background1"/>
                                  </w:rPr>
                                </w:pPr>
                                <w:r>
                                  <w:rPr>
                                    <w:color w:val="FFFFFF" w:themeColor="background1"/>
                                  </w:rPr>
                                  <w:t>Rick Abraham</w:t>
                                </w:r>
                              </w:p>
                            </w:sdtContent>
                          </w:sdt>
                          <w:p w14:paraId="220B5A5F" w14:textId="65DC7C88" w:rsidR="00186EAE"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5403">
                                  <w:rPr>
                                    <w:caps/>
                                    <w:color w:val="FFFFFF" w:themeColor="background1"/>
                                  </w:rPr>
                                  <w:t>My Company</w:t>
                                </w:r>
                              </w:sdtContent>
                            </w:sdt>
                            <w:r w:rsidR="00186EA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75403">
                                  <w:rPr>
                                    <w:color w:val="FFFFFF" w:themeColor="background1"/>
                                  </w:rPr>
                                  <w:t>Dallas, TX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6C4617" w14:textId="690FB9A2" w:rsidR="00186EAE" w:rsidRDefault="00186EAE">
                                <w:pPr>
                                  <w:pStyle w:val="NoSpacing"/>
                                  <w:jc w:val="center"/>
                                  <w:rPr>
                                    <w:rFonts w:asciiTheme="majorHAnsi" w:eastAsiaTheme="majorEastAsia" w:hAnsiTheme="majorHAnsi" w:cstheme="majorBidi"/>
                                    <w:caps/>
                                    <w:color w:val="156082" w:themeColor="accent1"/>
                                    <w:sz w:val="72"/>
                                    <w:szCs w:val="72"/>
                                  </w:rPr>
                                </w:pPr>
                                <w:r w:rsidRPr="00186EAE">
                                  <w:rPr>
                                    <w:rFonts w:asciiTheme="majorHAnsi" w:eastAsiaTheme="majorEastAsia" w:hAnsiTheme="majorHAnsi" w:cstheme="majorBidi"/>
                                    <w:caps/>
                                    <w:color w:val="156082" w:themeColor="accent1"/>
                                    <w:sz w:val="72"/>
                                    <w:szCs w:val="72"/>
                                  </w:rPr>
                                  <w:t xml:space="preserve">Risk Assessment </w:t>
                                </w:r>
                                <w:r w:rsidR="009C7D06">
                                  <w:rPr>
                                    <w:rFonts w:asciiTheme="majorHAnsi" w:eastAsiaTheme="majorEastAsia" w:hAnsiTheme="majorHAnsi" w:cstheme="majorBidi"/>
                                    <w:caps/>
                                    <w:color w:val="156082" w:themeColor="accent1"/>
                                    <w:sz w:val="72"/>
                                    <w:szCs w:val="72"/>
                                  </w:rPr>
                                  <w:t>–</w:t>
                                </w:r>
                                <w:r w:rsidRPr="00186EAE">
                                  <w:rPr>
                                    <w:rFonts w:asciiTheme="majorHAnsi" w:eastAsiaTheme="majorEastAsia" w:hAnsiTheme="majorHAnsi" w:cstheme="majorBidi"/>
                                    <w:caps/>
                                    <w:color w:val="156082" w:themeColor="accent1"/>
                                    <w:sz w:val="72"/>
                                    <w:szCs w:val="72"/>
                                  </w:rPr>
                                  <w:t xml:space="preserve"> </w:t>
                                </w:r>
                                <w:r w:rsidR="009C7D06">
                                  <w:rPr>
                                    <w:rFonts w:asciiTheme="majorHAnsi" w:eastAsiaTheme="majorEastAsia" w:hAnsiTheme="majorHAnsi" w:cstheme="majorBidi"/>
                                    <w:caps/>
                                    <w:color w:val="156082" w:themeColor="accent1"/>
                                    <w:sz w:val="72"/>
                                    <w:szCs w:val="72"/>
                                  </w:rPr>
                                  <w:t>Data Privacy</w:t>
                                </w:r>
                                <w:r w:rsidRPr="00186EAE">
                                  <w:rPr>
                                    <w:rFonts w:asciiTheme="majorHAnsi" w:eastAsiaTheme="majorEastAsia" w:hAnsiTheme="majorHAnsi" w:cstheme="majorBidi"/>
                                    <w:caps/>
                                    <w:color w:val="156082" w:themeColor="accent1"/>
                                    <w:sz w:val="72"/>
                                    <w:szCs w:val="72"/>
                                  </w:rPr>
                                  <w:t xml:space="preserve"> Risks</w:t>
                                </w:r>
                              </w:p>
                            </w:sdtContent>
                          </w:sdt>
                        </w:txbxContent>
                      </v:textbox>
                    </v:shape>
                    <w10:wrap anchorx="page" anchory="page"/>
                  </v:group>
                </w:pict>
              </mc:Fallback>
            </mc:AlternateContent>
          </w:r>
        </w:p>
        <w:p w14:paraId="324E1CC2" w14:textId="1D4D79A1" w:rsidR="00186EAE" w:rsidRDefault="00186EAE">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kern w:val="2"/>
          <w:sz w:val="24"/>
          <w:szCs w:val="24"/>
          <w14:ligatures w14:val="standardContextual"/>
        </w:rPr>
        <w:id w:val="1923298321"/>
        <w:docPartObj>
          <w:docPartGallery w:val="Table of Contents"/>
          <w:docPartUnique/>
        </w:docPartObj>
      </w:sdtPr>
      <w:sdtEndPr>
        <w:rPr>
          <w:b/>
          <w:bCs/>
          <w:noProof/>
        </w:rPr>
      </w:sdtEndPr>
      <w:sdtContent>
        <w:p w14:paraId="5DB76300" w14:textId="36B7840F" w:rsidR="00186EAE" w:rsidRDefault="00186EAE">
          <w:pPr>
            <w:pStyle w:val="TOCHeading"/>
          </w:pPr>
          <w:r>
            <w:t>Contents</w:t>
          </w:r>
        </w:p>
        <w:p w14:paraId="716DBA8F" w14:textId="59662289" w:rsidR="00054B24" w:rsidRDefault="00186EA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2579079" w:history="1">
            <w:r w:rsidR="00054B24" w:rsidRPr="00167235">
              <w:rPr>
                <w:rStyle w:val="Hyperlink"/>
                <w:noProof/>
              </w:rPr>
              <w:t>Introduction</w:t>
            </w:r>
            <w:r w:rsidR="00054B24">
              <w:rPr>
                <w:noProof/>
                <w:webHidden/>
              </w:rPr>
              <w:tab/>
            </w:r>
            <w:r w:rsidR="00054B24">
              <w:rPr>
                <w:noProof/>
                <w:webHidden/>
              </w:rPr>
              <w:fldChar w:fldCharType="begin"/>
            </w:r>
            <w:r w:rsidR="00054B24">
              <w:rPr>
                <w:noProof/>
                <w:webHidden/>
              </w:rPr>
              <w:instrText xml:space="preserve"> PAGEREF _Toc182579079 \h </w:instrText>
            </w:r>
            <w:r w:rsidR="00054B24">
              <w:rPr>
                <w:noProof/>
                <w:webHidden/>
              </w:rPr>
            </w:r>
            <w:r w:rsidR="00054B24">
              <w:rPr>
                <w:noProof/>
                <w:webHidden/>
              </w:rPr>
              <w:fldChar w:fldCharType="separate"/>
            </w:r>
            <w:r w:rsidR="00054B24">
              <w:rPr>
                <w:noProof/>
                <w:webHidden/>
              </w:rPr>
              <w:t>2</w:t>
            </w:r>
            <w:r w:rsidR="00054B24">
              <w:rPr>
                <w:noProof/>
                <w:webHidden/>
              </w:rPr>
              <w:fldChar w:fldCharType="end"/>
            </w:r>
          </w:hyperlink>
        </w:p>
        <w:p w14:paraId="199AFC1C" w14:textId="137ABD09" w:rsidR="00054B24" w:rsidRDefault="00054B24">
          <w:pPr>
            <w:pStyle w:val="TOC2"/>
            <w:tabs>
              <w:tab w:val="right" w:leader="dot" w:pos="9350"/>
            </w:tabs>
            <w:rPr>
              <w:rFonts w:eastAsiaTheme="minorEastAsia"/>
              <w:noProof/>
            </w:rPr>
          </w:pPr>
          <w:hyperlink w:anchor="_Toc182579080" w:history="1">
            <w:r w:rsidRPr="00167235">
              <w:rPr>
                <w:rStyle w:val="Hyperlink"/>
                <w:noProof/>
              </w:rPr>
              <w:t>Purpose</w:t>
            </w:r>
            <w:r>
              <w:rPr>
                <w:noProof/>
                <w:webHidden/>
              </w:rPr>
              <w:tab/>
            </w:r>
            <w:r>
              <w:rPr>
                <w:noProof/>
                <w:webHidden/>
              </w:rPr>
              <w:fldChar w:fldCharType="begin"/>
            </w:r>
            <w:r>
              <w:rPr>
                <w:noProof/>
                <w:webHidden/>
              </w:rPr>
              <w:instrText xml:space="preserve"> PAGEREF _Toc182579080 \h </w:instrText>
            </w:r>
            <w:r>
              <w:rPr>
                <w:noProof/>
                <w:webHidden/>
              </w:rPr>
            </w:r>
            <w:r>
              <w:rPr>
                <w:noProof/>
                <w:webHidden/>
              </w:rPr>
              <w:fldChar w:fldCharType="separate"/>
            </w:r>
            <w:r>
              <w:rPr>
                <w:noProof/>
                <w:webHidden/>
              </w:rPr>
              <w:t>2</w:t>
            </w:r>
            <w:r>
              <w:rPr>
                <w:noProof/>
                <w:webHidden/>
              </w:rPr>
              <w:fldChar w:fldCharType="end"/>
            </w:r>
          </w:hyperlink>
        </w:p>
        <w:p w14:paraId="69C670E5" w14:textId="4656B728" w:rsidR="00054B24" w:rsidRDefault="00054B24">
          <w:pPr>
            <w:pStyle w:val="TOC2"/>
            <w:tabs>
              <w:tab w:val="right" w:leader="dot" w:pos="9350"/>
            </w:tabs>
            <w:rPr>
              <w:rFonts w:eastAsiaTheme="minorEastAsia"/>
              <w:noProof/>
            </w:rPr>
          </w:pPr>
          <w:hyperlink w:anchor="_Toc182579081" w:history="1">
            <w:r w:rsidRPr="00167235">
              <w:rPr>
                <w:rStyle w:val="Hyperlink"/>
                <w:noProof/>
              </w:rPr>
              <w:t>Scope</w:t>
            </w:r>
            <w:r>
              <w:rPr>
                <w:noProof/>
                <w:webHidden/>
              </w:rPr>
              <w:tab/>
            </w:r>
            <w:r>
              <w:rPr>
                <w:noProof/>
                <w:webHidden/>
              </w:rPr>
              <w:fldChar w:fldCharType="begin"/>
            </w:r>
            <w:r>
              <w:rPr>
                <w:noProof/>
                <w:webHidden/>
              </w:rPr>
              <w:instrText xml:space="preserve"> PAGEREF _Toc182579081 \h </w:instrText>
            </w:r>
            <w:r>
              <w:rPr>
                <w:noProof/>
                <w:webHidden/>
              </w:rPr>
            </w:r>
            <w:r>
              <w:rPr>
                <w:noProof/>
                <w:webHidden/>
              </w:rPr>
              <w:fldChar w:fldCharType="separate"/>
            </w:r>
            <w:r>
              <w:rPr>
                <w:noProof/>
                <w:webHidden/>
              </w:rPr>
              <w:t>2</w:t>
            </w:r>
            <w:r>
              <w:rPr>
                <w:noProof/>
                <w:webHidden/>
              </w:rPr>
              <w:fldChar w:fldCharType="end"/>
            </w:r>
          </w:hyperlink>
        </w:p>
        <w:p w14:paraId="7CE60044" w14:textId="0B45EFE2" w:rsidR="00054B24" w:rsidRDefault="00054B24">
          <w:pPr>
            <w:pStyle w:val="TOC1"/>
            <w:tabs>
              <w:tab w:val="right" w:leader="dot" w:pos="9350"/>
            </w:tabs>
            <w:rPr>
              <w:rFonts w:eastAsiaTheme="minorEastAsia"/>
              <w:noProof/>
            </w:rPr>
          </w:pPr>
          <w:hyperlink w:anchor="_Toc182579082" w:history="1">
            <w:r w:rsidRPr="00167235">
              <w:rPr>
                <w:rStyle w:val="Hyperlink"/>
                <w:noProof/>
              </w:rPr>
              <w:t>Risk Identification</w:t>
            </w:r>
            <w:r>
              <w:rPr>
                <w:noProof/>
                <w:webHidden/>
              </w:rPr>
              <w:tab/>
            </w:r>
            <w:r>
              <w:rPr>
                <w:noProof/>
                <w:webHidden/>
              </w:rPr>
              <w:fldChar w:fldCharType="begin"/>
            </w:r>
            <w:r>
              <w:rPr>
                <w:noProof/>
                <w:webHidden/>
              </w:rPr>
              <w:instrText xml:space="preserve"> PAGEREF _Toc182579082 \h </w:instrText>
            </w:r>
            <w:r>
              <w:rPr>
                <w:noProof/>
                <w:webHidden/>
              </w:rPr>
            </w:r>
            <w:r>
              <w:rPr>
                <w:noProof/>
                <w:webHidden/>
              </w:rPr>
              <w:fldChar w:fldCharType="separate"/>
            </w:r>
            <w:r>
              <w:rPr>
                <w:noProof/>
                <w:webHidden/>
              </w:rPr>
              <w:t>2</w:t>
            </w:r>
            <w:r>
              <w:rPr>
                <w:noProof/>
                <w:webHidden/>
              </w:rPr>
              <w:fldChar w:fldCharType="end"/>
            </w:r>
          </w:hyperlink>
        </w:p>
        <w:p w14:paraId="1EA5334E" w14:textId="07E71011" w:rsidR="00054B24" w:rsidRDefault="00054B24">
          <w:pPr>
            <w:pStyle w:val="TOC1"/>
            <w:tabs>
              <w:tab w:val="right" w:leader="dot" w:pos="9350"/>
            </w:tabs>
            <w:rPr>
              <w:rFonts w:eastAsiaTheme="minorEastAsia"/>
              <w:noProof/>
            </w:rPr>
          </w:pPr>
          <w:hyperlink w:anchor="_Toc182579083" w:history="1">
            <w:r w:rsidRPr="00167235">
              <w:rPr>
                <w:rStyle w:val="Hyperlink"/>
                <w:noProof/>
              </w:rPr>
              <w:t>Risk Analysis</w:t>
            </w:r>
            <w:r>
              <w:rPr>
                <w:noProof/>
                <w:webHidden/>
              </w:rPr>
              <w:tab/>
            </w:r>
            <w:r>
              <w:rPr>
                <w:noProof/>
                <w:webHidden/>
              </w:rPr>
              <w:fldChar w:fldCharType="begin"/>
            </w:r>
            <w:r>
              <w:rPr>
                <w:noProof/>
                <w:webHidden/>
              </w:rPr>
              <w:instrText xml:space="preserve"> PAGEREF _Toc182579083 \h </w:instrText>
            </w:r>
            <w:r>
              <w:rPr>
                <w:noProof/>
                <w:webHidden/>
              </w:rPr>
            </w:r>
            <w:r>
              <w:rPr>
                <w:noProof/>
                <w:webHidden/>
              </w:rPr>
              <w:fldChar w:fldCharType="separate"/>
            </w:r>
            <w:r>
              <w:rPr>
                <w:noProof/>
                <w:webHidden/>
              </w:rPr>
              <w:t>3</w:t>
            </w:r>
            <w:r>
              <w:rPr>
                <w:noProof/>
                <w:webHidden/>
              </w:rPr>
              <w:fldChar w:fldCharType="end"/>
            </w:r>
          </w:hyperlink>
        </w:p>
        <w:p w14:paraId="42AE01E4" w14:textId="4C6567DD" w:rsidR="00054B24" w:rsidRDefault="00054B24">
          <w:pPr>
            <w:pStyle w:val="TOC1"/>
            <w:tabs>
              <w:tab w:val="right" w:leader="dot" w:pos="9350"/>
            </w:tabs>
            <w:rPr>
              <w:rFonts w:eastAsiaTheme="minorEastAsia"/>
              <w:noProof/>
            </w:rPr>
          </w:pPr>
          <w:hyperlink w:anchor="_Toc182579084" w:history="1">
            <w:r w:rsidRPr="00167235">
              <w:rPr>
                <w:rStyle w:val="Hyperlink"/>
                <w:noProof/>
              </w:rPr>
              <w:t>Mitigation Recommendations</w:t>
            </w:r>
            <w:r>
              <w:rPr>
                <w:noProof/>
                <w:webHidden/>
              </w:rPr>
              <w:tab/>
            </w:r>
            <w:r>
              <w:rPr>
                <w:noProof/>
                <w:webHidden/>
              </w:rPr>
              <w:fldChar w:fldCharType="begin"/>
            </w:r>
            <w:r>
              <w:rPr>
                <w:noProof/>
                <w:webHidden/>
              </w:rPr>
              <w:instrText xml:space="preserve"> PAGEREF _Toc182579084 \h </w:instrText>
            </w:r>
            <w:r>
              <w:rPr>
                <w:noProof/>
                <w:webHidden/>
              </w:rPr>
            </w:r>
            <w:r>
              <w:rPr>
                <w:noProof/>
                <w:webHidden/>
              </w:rPr>
              <w:fldChar w:fldCharType="separate"/>
            </w:r>
            <w:r>
              <w:rPr>
                <w:noProof/>
                <w:webHidden/>
              </w:rPr>
              <w:t>3</w:t>
            </w:r>
            <w:r>
              <w:rPr>
                <w:noProof/>
                <w:webHidden/>
              </w:rPr>
              <w:fldChar w:fldCharType="end"/>
            </w:r>
          </w:hyperlink>
        </w:p>
        <w:p w14:paraId="288B5767" w14:textId="78AD3B36" w:rsidR="00054B24" w:rsidRDefault="00054B24">
          <w:pPr>
            <w:pStyle w:val="TOC2"/>
            <w:tabs>
              <w:tab w:val="right" w:leader="dot" w:pos="9350"/>
            </w:tabs>
            <w:rPr>
              <w:rFonts w:eastAsiaTheme="minorEastAsia"/>
              <w:noProof/>
            </w:rPr>
          </w:pPr>
          <w:hyperlink w:anchor="_Toc182579085" w:history="1">
            <w:r w:rsidRPr="00167235">
              <w:rPr>
                <w:rStyle w:val="Hyperlink"/>
                <w:noProof/>
              </w:rPr>
              <w:t>Customer Database</w:t>
            </w:r>
            <w:r>
              <w:rPr>
                <w:noProof/>
                <w:webHidden/>
              </w:rPr>
              <w:tab/>
            </w:r>
            <w:r>
              <w:rPr>
                <w:noProof/>
                <w:webHidden/>
              </w:rPr>
              <w:fldChar w:fldCharType="begin"/>
            </w:r>
            <w:r>
              <w:rPr>
                <w:noProof/>
                <w:webHidden/>
              </w:rPr>
              <w:instrText xml:space="preserve"> PAGEREF _Toc182579085 \h </w:instrText>
            </w:r>
            <w:r>
              <w:rPr>
                <w:noProof/>
                <w:webHidden/>
              </w:rPr>
            </w:r>
            <w:r>
              <w:rPr>
                <w:noProof/>
                <w:webHidden/>
              </w:rPr>
              <w:fldChar w:fldCharType="separate"/>
            </w:r>
            <w:r>
              <w:rPr>
                <w:noProof/>
                <w:webHidden/>
              </w:rPr>
              <w:t>3</w:t>
            </w:r>
            <w:r>
              <w:rPr>
                <w:noProof/>
                <w:webHidden/>
              </w:rPr>
              <w:fldChar w:fldCharType="end"/>
            </w:r>
          </w:hyperlink>
        </w:p>
        <w:p w14:paraId="04A4E084" w14:textId="15D4898E" w:rsidR="00054B24" w:rsidRDefault="00054B24">
          <w:pPr>
            <w:pStyle w:val="TOC2"/>
            <w:tabs>
              <w:tab w:val="right" w:leader="dot" w:pos="9350"/>
            </w:tabs>
            <w:rPr>
              <w:rFonts w:eastAsiaTheme="minorEastAsia"/>
              <w:noProof/>
            </w:rPr>
          </w:pPr>
          <w:hyperlink w:anchor="_Toc182579086" w:history="1">
            <w:r w:rsidRPr="00167235">
              <w:rPr>
                <w:rStyle w:val="Hyperlink"/>
                <w:noProof/>
              </w:rPr>
              <w:t>Employee Records</w:t>
            </w:r>
            <w:r>
              <w:rPr>
                <w:noProof/>
                <w:webHidden/>
              </w:rPr>
              <w:tab/>
            </w:r>
            <w:r>
              <w:rPr>
                <w:noProof/>
                <w:webHidden/>
              </w:rPr>
              <w:fldChar w:fldCharType="begin"/>
            </w:r>
            <w:r>
              <w:rPr>
                <w:noProof/>
                <w:webHidden/>
              </w:rPr>
              <w:instrText xml:space="preserve"> PAGEREF _Toc182579086 \h </w:instrText>
            </w:r>
            <w:r>
              <w:rPr>
                <w:noProof/>
                <w:webHidden/>
              </w:rPr>
            </w:r>
            <w:r>
              <w:rPr>
                <w:noProof/>
                <w:webHidden/>
              </w:rPr>
              <w:fldChar w:fldCharType="separate"/>
            </w:r>
            <w:r>
              <w:rPr>
                <w:noProof/>
                <w:webHidden/>
              </w:rPr>
              <w:t>4</w:t>
            </w:r>
            <w:r>
              <w:rPr>
                <w:noProof/>
                <w:webHidden/>
              </w:rPr>
              <w:fldChar w:fldCharType="end"/>
            </w:r>
          </w:hyperlink>
        </w:p>
        <w:p w14:paraId="4445D01D" w14:textId="11F4841C" w:rsidR="00054B24" w:rsidRDefault="00054B24">
          <w:pPr>
            <w:pStyle w:val="TOC2"/>
            <w:tabs>
              <w:tab w:val="right" w:leader="dot" w:pos="9350"/>
            </w:tabs>
            <w:rPr>
              <w:rFonts w:eastAsiaTheme="minorEastAsia"/>
              <w:noProof/>
            </w:rPr>
          </w:pPr>
          <w:hyperlink w:anchor="_Toc182579087" w:history="1">
            <w:r w:rsidRPr="00167235">
              <w:rPr>
                <w:rStyle w:val="Hyperlink"/>
                <w:noProof/>
              </w:rPr>
              <w:t>Cloud Storage</w:t>
            </w:r>
            <w:r>
              <w:rPr>
                <w:noProof/>
                <w:webHidden/>
              </w:rPr>
              <w:tab/>
            </w:r>
            <w:r>
              <w:rPr>
                <w:noProof/>
                <w:webHidden/>
              </w:rPr>
              <w:fldChar w:fldCharType="begin"/>
            </w:r>
            <w:r>
              <w:rPr>
                <w:noProof/>
                <w:webHidden/>
              </w:rPr>
              <w:instrText xml:space="preserve"> PAGEREF _Toc182579087 \h </w:instrText>
            </w:r>
            <w:r>
              <w:rPr>
                <w:noProof/>
                <w:webHidden/>
              </w:rPr>
            </w:r>
            <w:r>
              <w:rPr>
                <w:noProof/>
                <w:webHidden/>
              </w:rPr>
              <w:fldChar w:fldCharType="separate"/>
            </w:r>
            <w:r>
              <w:rPr>
                <w:noProof/>
                <w:webHidden/>
              </w:rPr>
              <w:t>4</w:t>
            </w:r>
            <w:r>
              <w:rPr>
                <w:noProof/>
                <w:webHidden/>
              </w:rPr>
              <w:fldChar w:fldCharType="end"/>
            </w:r>
          </w:hyperlink>
        </w:p>
        <w:p w14:paraId="454DD029" w14:textId="0A214E88" w:rsidR="00054B24" w:rsidRDefault="00054B24">
          <w:pPr>
            <w:pStyle w:val="TOC2"/>
            <w:tabs>
              <w:tab w:val="right" w:leader="dot" w:pos="9350"/>
            </w:tabs>
            <w:rPr>
              <w:rFonts w:eastAsiaTheme="minorEastAsia"/>
              <w:noProof/>
            </w:rPr>
          </w:pPr>
          <w:hyperlink w:anchor="_Toc182579088" w:history="1">
            <w:r w:rsidRPr="00167235">
              <w:rPr>
                <w:rStyle w:val="Hyperlink"/>
                <w:noProof/>
              </w:rPr>
              <w:t>Backup Systems</w:t>
            </w:r>
            <w:r>
              <w:rPr>
                <w:noProof/>
                <w:webHidden/>
              </w:rPr>
              <w:tab/>
            </w:r>
            <w:r>
              <w:rPr>
                <w:noProof/>
                <w:webHidden/>
              </w:rPr>
              <w:fldChar w:fldCharType="begin"/>
            </w:r>
            <w:r>
              <w:rPr>
                <w:noProof/>
                <w:webHidden/>
              </w:rPr>
              <w:instrText xml:space="preserve"> PAGEREF _Toc182579088 \h </w:instrText>
            </w:r>
            <w:r>
              <w:rPr>
                <w:noProof/>
                <w:webHidden/>
              </w:rPr>
            </w:r>
            <w:r>
              <w:rPr>
                <w:noProof/>
                <w:webHidden/>
              </w:rPr>
              <w:fldChar w:fldCharType="separate"/>
            </w:r>
            <w:r>
              <w:rPr>
                <w:noProof/>
                <w:webHidden/>
              </w:rPr>
              <w:t>4</w:t>
            </w:r>
            <w:r>
              <w:rPr>
                <w:noProof/>
                <w:webHidden/>
              </w:rPr>
              <w:fldChar w:fldCharType="end"/>
            </w:r>
          </w:hyperlink>
        </w:p>
        <w:p w14:paraId="553796C0" w14:textId="5C65AE44" w:rsidR="00054B24" w:rsidRDefault="00054B24">
          <w:pPr>
            <w:pStyle w:val="TOC2"/>
            <w:tabs>
              <w:tab w:val="right" w:leader="dot" w:pos="9350"/>
            </w:tabs>
            <w:rPr>
              <w:rFonts w:eastAsiaTheme="minorEastAsia"/>
              <w:noProof/>
            </w:rPr>
          </w:pPr>
          <w:hyperlink w:anchor="_Toc182579089" w:history="1">
            <w:r w:rsidRPr="00167235">
              <w:rPr>
                <w:rStyle w:val="Hyperlink"/>
                <w:noProof/>
              </w:rPr>
              <w:t>Collaboration Tools</w:t>
            </w:r>
            <w:r>
              <w:rPr>
                <w:noProof/>
                <w:webHidden/>
              </w:rPr>
              <w:tab/>
            </w:r>
            <w:r>
              <w:rPr>
                <w:noProof/>
                <w:webHidden/>
              </w:rPr>
              <w:fldChar w:fldCharType="begin"/>
            </w:r>
            <w:r>
              <w:rPr>
                <w:noProof/>
                <w:webHidden/>
              </w:rPr>
              <w:instrText xml:space="preserve"> PAGEREF _Toc182579089 \h </w:instrText>
            </w:r>
            <w:r>
              <w:rPr>
                <w:noProof/>
                <w:webHidden/>
              </w:rPr>
            </w:r>
            <w:r>
              <w:rPr>
                <w:noProof/>
                <w:webHidden/>
              </w:rPr>
              <w:fldChar w:fldCharType="separate"/>
            </w:r>
            <w:r>
              <w:rPr>
                <w:noProof/>
                <w:webHidden/>
              </w:rPr>
              <w:t>4</w:t>
            </w:r>
            <w:r>
              <w:rPr>
                <w:noProof/>
                <w:webHidden/>
              </w:rPr>
              <w:fldChar w:fldCharType="end"/>
            </w:r>
          </w:hyperlink>
        </w:p>
        <w:p w14:paraId="509F2621" w14:textId="303517BF" w:rsidR="00054B24" w:rsidRDefault="00054B24">
          <w:pPr>
            <w:pStyle w:val="TOC1"/>
            <w:tabs>
              <w:tab w:val="right" w:leader="dot" w:pos="9350"/>
            </w:tabs>
            <w:rPr>
              <w:rFonts w:eastAsiaTheme="minorEastAsia"/>
              <w:noProof/>
            </w:rPr>
          </w:pPr>
          <w:hyperlink w:anchor="_Toc182579090" w:history="1">
            <w:r w:rsidRPr="00167235">
              <w:rPr>
                <w:rStyle w:val="Hyperlink"/>
                <w:noProof/>
              </w:rPr>
              <w:t>Monitoring and Review</w:t>
            </w:r>
            <w:r>
              <w:rPr>
                <w:noProof/>
                <w:webHidden/>
              </w:rPr>
              <w:tab/>
            </w:r>
            <w:r>
              <w:rPr>
                <w:noProof/>
                <w:webHidden/>
              </w:rPr>
              <w:fldChar w:fldCharType="begin"/>
            </w:r>
            <w:r>
              <w:rPr>
                <w:noProof/>
                <w:webHidden/>
              </w:rPr>
              <w:instrText xml:space="preserve"> PAGEREF _Toc182579090 \h </w:instrText>
            </w:r>
            <w:r>
              <w:rPr>
                <w:noProof/>
                <w:webHidden/>
              </w:rPr>
            </w:r>
            <w:r>
              <w:rPr>
                <w:noProof/>
                <w:webHidden/>
              </w:rPr>
              <w:fldChar w:fldCharType="separate"/>
            </w:r>
            <w:r>
              <w:rPr>
                <w:noProof/>
                <w:webHidden/>
              </w:rPr>
              <w:t>5</w:t>
            </w:r>
            <w:r>
              <w:rPr>
                <w:noProof/>
                <w:webHidden/>
              </w:rPr>
              <w:fldChar w:fldCharType="end"/>
            </w:r>
          </w:hyperlink>
        </w:p>
        <w:p w14:paraId="0486ACCA" w14:textId="7196FD07" w:rsidR="00054B24" w:rsidRDefault="00054B24">
          <w:pPr>
            <w:pStyle w:val="TOC2"/>
            <w:tabs>
              <w:tab w:val="right" w:leader="dot" w:pos="9350"/>
            </w:tabs>
            <w:rPr>
              <w:rFonts w:eastAsiaTheme="minorEastAsia"/>
              <w:noProof/>
            </w:rPr>
          </w:pPr>
          <w:hyperlink w:anchor="_Toc182579091" w:history="1">
            <w:r w:rsidRPr="00167235">
              <w:rPr>
                <w:rStyle w:val="Hyperlink"/>
                <w:noProof/>
              </w:rPr>
              <w:t>Frequency</w:t>
            </w:r>
            <w:r>
              <w:rPr>
                <w:noProof/>
                <w:webHidden/>
              </w:rPr>
              <w:tab/>
            </w:r>
            <w:r>
              <w:rPr>
                <w:noProof/>
                <w:webHidden/>
              </w:rPr>
              <w:fldChar w:fldCharType="begin"/>
            </w:r>
            <w:r>
              <w:rPr>
                <w:noProof/>
                <w:webHidden/>
              </w:rPr>
              <w:instrText xml:space="preserve"> PAGEREF _Toc182579091 \h </w:instrText>
            </w:r>
            <w:r>
              <w:rPr>
                <w:noProof/>
                <w:webHidden/>
              </w:rPr>
            </w:r>
            <w:r>
              <w:rPr>
                <w:noProof/>
                <w:webHidden/>
              </w:rPr>
              <w:fldChar w:fldCharType="separate"/>
            </w:r>
            <w:r>
              <w:rPr>
                <w:noProof/>
                <w:webHidden/>
              </w:rPr>
              <w:t>5</w:t>
            </w:r>
            <w:r>
              <w:rPr>
                <w:noProof/>
                <w:webHidden/>
              </w:rPr>
              <w:fldChar w:fldCharType="end"/>
            </w:r>
          </w:hyperlink>
        </w:p>
        <w:p w14:paraId="3D9F6AF8" w14:textId="483E9459" w:rsidR="00054B24" w:rsidRDefault="00054B24">
          <w:pPr>
            <w:pStyle w:val="TOC3"/>
            <w:tabs>
              <w:tab w:val="right" w:leader="dot" w:pos="9350"/>
            </w:tabs>
            <w:rPr>
              <w:rFonts w:eastAsiaTheme="minorEastAsia"/>
              <w:noProof/>
            </w:rPr>
          </w:pPr>
          <w:hyperlink w:anchor="_Toc182579092" w:history="1">
            <w:r w:rsidRPr="00167235">
              <w:rPr>
                <w:rStyle w:val="Hyperlink"/>
                <w:noProof/>
              </w:rPr>
              <w:t>Daily</w:t>
            </w:r>
            <w:r>
              <w:rPr>
                <w:noProof/>
                <w:webHidden/>
              </w:rPr>
              <w:tab/>
            </w:r>
            <w:r>
              <w:rPr>
                <w:noProof/>
                <w:webHidden/>
              </w:rPr>
              <w:fldChar w:fldCharType="begin"/>
            </w:r>
            <w:r>
              <w:rPr>
                <w:noProof/>
                <w:webHidden/>
              </w:rPr>
              <w:instrText xml:space="preserve"> PAGEREF _Toc182579092 \h </w:instrText>
            </w:r>
            <w:r>
              <w:rPr>
                <w:noProof/>
                <w:webHidden/>
              </w:rPr>
            </w:r>
            <w:r>
              <w:rPr>
                <w:noProof/>
                <w:webHidden/>
              </w:rPr>
              <w:fldChar w:fldCharType="separate"/>
            </w:r>
            <w:r>
              <w:rPr>
                <w:noProof/>
                <w:webHidden/>
              </w:rPr>
              <w:t>5</w:t>
            </w:r>
            <w:r>
              <w:rPr>
                <w:noProof/>
                <w:webHidden/>
              </w:rPr>
              <w:fldChar w:fldCharType="end"/>
            </w:r>
          </w:hyperlink>
        </w:p>
        <w:p w14:paraId="27D77EAB" w14:textId="28855DBA" w:rsidR="00054B24" w:rsidRDefault="00054B24">
          <w:pPr>
            <w:pStyle w:val="TOC3"/>
            <w:tabs>
              <w:tab w:val="right" w:leader="dot" w:pos="9350"/>
            </w:tabs>
            <w:rPr>
              <w:rFonts w:eastAsiaTheme="minorEastAsia"/>
              <w:noProof/>
            </w:rPr>
          </w:pPr>
          <w:hyperlink w:anchor="_Toc182579093" w:history="1">
            <w:r w:rsidRPr="00167235">
              <w:rPr>
                <w:rStyle w:val="Hyperlink"/>
                <w:noProof/>
              </w:rPr>
              <w:t>Monthly</w:t>
            </w:r>
            <w:r>
              <w:rPr>
                <w:noProof/>
                <w:webHidden/>
              </w:rPr>
              <w:tab/>
            </w:r>
            <w:r>
              <w:rPr>
                <w:noProof/>
                <w:webHidden/>
              </w:rPr>
              <w:fldChar w:fldCharType="begin"/>
            </w:r>
            <w:r>
              <w:rPr>
                <w:noProof/>
                <w:webHidden/>
              </w:rPr>
              <w:instrText xml:space="preserve"> PAGEREF _Toc182579093 \h </w:instrText>
            </w:r>
            <w:r>
              <w:rPr>
                <w:noProof/>
                <w:webHidden/>
              </w:rPr>
            </w:r>
            <w:r>
              <w:rPr>
                <w:noProof/>
                <w:webHidden/>
              </w:rPr>
              <w:fldChar w:fldCharType="separate"/>
            </w:r>
            <w:r>
              <w:rPr>
                <w:noProof/>
                <w:webHidden/>
              </w:rPr>
              <w:t>5</w:t>
            </w:r>
            <w:r>
              <w:rPr>
                <w:noProof/>
                <w:webHidden/>
              </w:rPr>
              <w:fldChar w:fldCharType="end"/>
            </w:r>
          </w:hyperlink>
        </w:p>
        <w:p w14:paraId="1123200B" w14:textId="32C200D4" w:rsidR="00054B24" w:rsidRDefault="00054B24">
          <w:pPr>
            <w:pStyle w:val="TOC3"/>
            <w:tabs>
              <w:tab w:val="right" w:leader="dot" w:pos="9350"/>
            </w:tabs>
            <w:rPr>
              <w:rFonts w:eastAsiaTheme="minorEastAsia"/>
              <w:noProof/>
            </w:rPr>
          </w:pPr>
          <w:hyperlink w:anchor="_Toc182579094" w:history="1">
            <w:r w:rsidRPr="00167235">
              <w:rPr>
                <w:rStyle w:val="Hyperlink"/>
                <w:noProof/>
              </w:rPr>
              <w:t>Quarterly</w:t>
            </w:r>
            <w:r>
              <w:rPr>
                <w:noProof/>
                <w:webHidden/>
              </w:rPr>
              <w:tab/>
            </w:r>
            <w:r>
              <w:rPr>
                <w:noProof/>
                <w:webHidden/>
              </w:rPr>
              <w:fldChar w:fldCharType="begin"/>
            </w:r>
            <w:r>
              <w:rPr>
                <w:noProof/>
                <w:webHidden/>
              </w:rPr>
              <w:instrText xml:space="preserve"> PAGEREF _Toc182579094 \h </w:instrText>
            </w:r>
            <w:r>
              <w:rPr>
                <w:noProof/>
                <w:webHidden/>
              </w:rPr>
            </w:r>
            <w:r>
              <w:rPr>
                <w:noProof/>
                <w:webHidden/>
              </w:rPr>
              <w:fldChar w:fldCharType="separate"/>
            </w:r>
            <w:r>
              <w:rPr>
                <w:noProof/>
                <w:webHidden/>
              </w:rPr>
              <w:t>5</w:t>
            </w:r>
            <w:r>
              <w:rPr>
                <w:noProof/>
                <w:webHidden/>
              </w:rPr>
              <w:fldChar w:fldCharType="end"/>
            </w:r>
          </w:hyperlink>
        </w:p>
        <w:p w14:paraId="0B910923" w14:textId="05DB5558" w:rsidR="00054B24" w:rsidRDefault="00054B24">
          <w:pPr>
            <w:pStyle w:val="TOC3"/>
            <w:tabs>
              <w:tab w:val="right" w:leader="dot" w:pos="9350"/>
            </w:tabs>
            <w:rPr>
              <w:rFonts w:eastAsiaTheme="minorEastAsia"/>
              <w:noProof/>
            </w:rPr>
          </w:pPr>
          <w:hyperlink w:anchor="_Toc182579095" w:history="1">
            <w:r w:rsidRPr="00167235">
              <w:rPr>
                <w:rStyle w:val="Hyperlink"/>
                <w:noProof/>
              </w:rPr>
              <w:t>Bi-Annually</w:t>
            </w:r>
            <w:r>
              <w:rPr>
                <w:noProof/>
                <w:webHidden/>
              </w:rPr>
              <w:tab/>
            </w:r>
            <w:r>
              <w:rPr>
                <w:noProof/>
                <w:webHidden/>
              </w:rPr>
              <w:fldChar w:fldCharType="begin"/>
            </w:r>
            <w:r>
              <w:rPr>
                <w:noProof/>
                <w:webHidden/>
              </w:rPr>
              <w:instrText xml:space="preserve"> PAGEREF _Toc182579095 \h </w:instrText>
            </w:r>
            <w:r>
              <w:rPr>
                <w:noProof/>
                <w:webHidden/>
              </w:rPr>
            </w:r>
            <w:r>
              <w:rPr>
                <w:noProof/>
                <w:webHidden/>
              </w:rPr>
              <w:fldChar w:fldCharType="separate"/>
            </w:r>
            <w:r>
              <w:rPr>
                <w:noProof/>
                <w:webHidden/>
              </w:rPr>
              <w:t>5</w:t>
            </w:r>
            <w:r>
              <w:rPr>
                <w:noProof/>
                <w:webHidden/>
              </w:rPr>
              <w:fldChar w:fldCharType="end"/>
            </w:r>
          </w:hyperlink>
        </w:p>
        <w:p w14:paraId="56182D99" w14:textId="6423D4FC" w:rsidR="00054B24" w:rsidRDefault="00054B24">
          <w:pPr>
            <w:pStyle w:val="TOC3"/>
            <w:tabs>
              <w:tab w:val="right" w:leader="dot" w:pos="9350"/>
            </w:tabs>
            <w:rPr>
              <w:rFonts w:eastAsiaTheme="minorEastAsia"/>
              <w:noProof/>
            </w:rPr>
          </w:pPr>
          <w:hyperlink w:anchor="_Toc182579096" w:history="1">
            <w:r w:rsidRPr="00167235">
              <w:rPr>
                <w:rStyle w:val="Hyperlink"/>
                <w:noProof/>
              </w:rPr>
              <w:t>Annually</w:t>
            </w:r>
            <w:r>
              <w:rPr>
                <w:noProof/>
                <w:webHidden/>
              </w:rPr>
              <w:tab/>
            </w:r>
            <w:r>
              <w:rPr>
                <w:noProof/>
                <w:webHidden/>
              </w:rPr>
              <w:fldChar w:fldCharType="begin"/>
            </w:r>
            <w:r>
              <w:rPr>
                <w:noProof/>
                <w:webHidden/>
              </w:rPr>
              <w:instrText xml:space="preserve"> PAGEREF _Toc182579096 \h </w:instrText>
            </w:r>
            <w:r>
              <w:rPr>
                <w:noProof/>
                <w:webHidden/>
              </w:rPr>
            </w:r>
            <w:r>
              <w:rPr>
                <w:noProof/>
                <w:webHidden/>
              </w:rPr>
              <w:fldChar w:fldCharType="separate"/>
            </w:r>
            <w:r>
              <w:rPr>
                <w:noProof/>
                <w:webHidden/>
              </w:rPr>
              <w:t>6</w:t>
            </w:r>
            <w:r>
              <w:rPr>
                <w:noProof/>
                <w:webHidden/>
              </w:rPr>
              <w:fldChar w:fldCharType="end"/>
            </w:r>
          </w:hyperlink>
        </w:p>
        <w:p w14:paraId="789A3506" w14:textId="0293309F" w:rsidR="00054B24" w:rsidRDefault="00054B24">
          <w:pPr>
            <w:pStyle w:val="TOC2"/>
            <w:tabs>
              <w:tab w:val="right" w:leader="dot" w:pos="9350"/>
            </w:tabs>
            <w:rPr>
              <w:rFonts w:eastAsiaTheme="minorEastAsia"/>
              <w:noProof/>
            </w:rPr>
          </w:pPr>
          <w:hyperlink w:anchor="_Toc182579097" w:history="1">
            <w:r w:rsidRPr="00167235">
              <w:rPr>
                <w:rStyle w:val="Hyperlink"/>
                <w:noProof/>
              </w:rPr>
              <w:t>Incident Response</w:t>
            </w:r>
            <w:r>
              <w:rPr>
                <w:noProof/>
                <w:webHidden/>
              </w:rPr>
              <w:tab/>
            </w:r>
            <w:r>
              <w:rPr>
                <w:noProof/>
                <w:webHidden/>
              </w:rPr>
              <w:fldChar w:fldCharType="begin"/>
            </w:r>
            <w:r>
              <w:rPr>
                <w:noProof/>
                <w:webHidden/>
              </w:rPr>
              <w:instrText xml:space="preserve"> PAGEREF _Toc182579097 \h </w:instrText>
            </w:r>
            <w:r>
              <w:rPr>
                <w:noProof/>
                <w:webHidden/>
              </w:rPr>
            </w:r>
            <w:r>
              <w:rPr>
                <w:noProof/>
                <w:webHidden/>
              </w:rPr>
              <w:fldChar w:fldCharType="separate"/>
            </w:r>
            <w:r>
              <w:rPr>
                <w:noProof/>
                <w:webHidden/>
              </w:rPr>
              <w:t>6</w:t>
            </w:r>
            <w:r>
              <w:rPr>
                <w:noProof/>
                <w:webHidden/>
              </w:rPr>
              <w:fldChar w:fldCharType="end"/>
            </w:r>
          </w:hyperlink>
        </w:p>
        <w:p w14:paraId="4EF11D57" w14:textId="743A84BB" w:rsidR="00054B24" w:rsidRDefault="00054B24">
          <w:pPr>
            <w:pStyle w:val="TOC2"/>
            <w:tabs>
              <w:tab w:val="right" w:leader="dot" w:pos="9350"/>
            </w:tabs>
            <w:rPr>
              <w:rFonts w:eastAsiaTheme="minorEastAsia"/>
              <w:noProof/>
            </w:rPr>
          </w:pPr>
          <w:hyperlink w:anchor="_Toc182579098" w:history="1">
            <w:r w:rsidRPr="00167235">
              <w:rPr>
                <w:rStyle w:val="Hyperlink"/>
                <w:noProof/>
              </w:rPr>
              <w:t>Documentation and Compliance</w:t>
            </w:r>
            <w:r>
              <w:rPr>
                <w:noProof/>
                <w:webHidden/>
              </w:rPr>
              <w:tab/>
            </w:r>
            <w:r>
              <w:rPr>
                <w:noProof/>
                <w:webHidden/>
              </w:rPr>
              <w:fldChar w:fldCharType="begin"/>
            </w:r>
            <w:r>
              <w:rPr>
                <w:noProof/>
                <w:webHidden/>
              </w:rPr>
              <w:instrText xml:space="preserve"> PAGEREF _Toc182579098 \h </w:instrText>
            </w:r>
            <w:r>
              <w:rPr>
                <w:noProof/>
                <w:webHidden/>
              </w:rPr>
            </w:r>
            <w:r>
              <w:rPr>
                <w:noProof/>
                <w:webHidden/>
              </w:rPr>
              <w:fldChar w:fldCharType="separate"/>
            </w:r>
            <w:r>
              <w:rPr>
                <w:noProof/>
                <w:webHidden/>
              </w:rPr>
              <w:t>6</w:t>
            </w:r>
            <w:r>
              <w:rPr>
                <w:noProof/>
                <w:webHidden/>
              </w:rPr>
              <w:fldChar w:fldCharType="end"/>
            </w:r>
          </w:hyperlink>
        </w:p>
        <w:p w14:paraId="5F5DE152" w14:textId="12FF7DAE" w:rsidR="00186EAE" w:rsidRDefault="00186EAE">
          <w:r>
            <w:rPr>
              <w:b/>
              <w:bCs/>
              <w:noProof/>
            </w:rPr>
            <w:fldChar w:fldCharType="end"/>
          </w:r>
        </w:p>
      </w:sdtContent>
    </w:sdt>
    <w:p w14:paraId="4B23EA45" w14:textId="77777777" w:rsidR="00186EAE" w:rsidRDefault="00186EAE" w:rsidP="00186EAE">
      <w:pPr>
        <w:pStyle w:val="Title"/>
      </w:pPr>
    </w:p>
    <w:p w14:paraId="7BB6AB33" w14:textId="77777777" w:rsidR="00186EAE" w:rsidRDefault="00186EAE">
      <w:pPr>
        <w:rPr>
          <w:rFonts w:asciiTheme="majorHAnsi" w:eastAsiaTheme="majorEastAsia" w:hAnsiTheme="majorHAnsi" w:cstheme="majorBidi"/>
          <w:spacing w:val="-10"/>
          <w:kern w:val="28"/>
          <w:sz w:val="56"/>
          <w:szCs w:val="56"/>
        </w:rPr>
      </w:pPr>
      <w:r>
        <w:br w:type="page"/>
      </w:r>
    </w:p>
    <w:p w14:paraId="58CEA636" w14:textId="087E0F02" w:rsidR="00186EAE" w:rsidRPr="00186EAE" w:rsidRDefault="00186EAE" w:rsidP="00186EAE">
      <w:pPr>
        <w:pStyle w:val="Title"/>
      </w:pPr>
      <w:r w:rsidRPr="00186EAE">
        <w:lastRenderedPageBreak/>
        <w:t xml:space="preserve">Risk Assessment </w:t>
      </w:r>
      <w:r w:rsidR="009C7D06">
        <w:t>–</w:t>
      </w:r>
      <w:r w:rsidRPr="00186EAE">
        <w:t xml:space="preserve"> </w:t>
      </w:r>
      <w:r w:rsidR="009C7D06">
        <w:t>Data Privacy</w:t>
      </w:r>
      <w:r w:rsidRPr="00186EAE">
        <w:t xml:space="preserve"> Risks</w:t>
      </w:r>
    </w:p>
    <w:p w14:paraId="0ACB3C50" w14:textId="77777777" w:rsidR="00186EAE" w:rsidRPr="00186EAE" w:rsidRDefault="00186EAE" w:rsidP="00186EAE">
      <w:pPr>
        <w:pStyle w:val="Heading1"/>
      </w:pPr>
      <w:bookmarkStart w:id="0" w:name="_Toc182579079"/>
      <w:r w:rsidRPr="00186EAE">
        <w:t>Introduction</w:t>
      </w:r>
      <w:bookmarkEnd w:id="0"/>
    </w:p>
    <w:p w14:paraId="31D5829C" w14:textId="63B4B5B5" w:rsidR="00186EAE" w:rsidRPr="00186EAE" w:rsidRDefault="00186EAE" w:rsidP="002247EF">
      <w:pPr>
        <w:ind w:left="720"/>
      </w:pPr>
      <w:bookmarkStart w:id="1" w:name="_Toc182579080"/>
      <w:r w:rsidRPr="00186EAE">
        <w:rPr>
          <w:rStyle w:val="Heading2Char"/>
        </w:rPr>
        <w:t>Purpose</w:t>
      </w:r>
      <w:bookmarkEnd w:id="1"/>
      <w:r w:rsidRPr="00186EAE">
        <w:t xml:space="preserve">: </w:t>
      </w:r>
      <w:r w:rsidR="00E779D1" w:rsidRPr="00E779D1">
        <w:t>This risk assessment evaluates threats to the confidentiality, integrity, and availability of sensitive data stored, processed, and transmitted by the organization. The assessment identifies vulnerabilities, assesses potential impacts, and provides actionable recommendations to address these risks.</w:t>
      </w:r>
    </w:p>
    <w:p w14:paraId="67006154" w14:textId="133F2AA6" w:rsidR="00186EAE" w:rsidRPr="00186EAE" w:rsidRDefault="00186EAE" w:rsidP="002247EF">
      <w:pPr>
        <w:ind w:left="720"/>
      </w:pPr>
      <w:bookmarkStart w:id="2" w:name="_Toc182579081"/>
      <w:r w:rsidRPr="00186EAE">
        <w:rPr>
          <w:rStyle w:val="Heading2Char"/>
        </w:rPr>
        <w:t>Scope</w:t>
      </w:r>
      <w:bookmarkEnd w:id="2"/>
      <w:r w:rsidRPr="00186EAE">
        <w:t xml:space="preserve">: </w:t>
      </w:r>
      <w:r w:rsidR="00E779D1" w:rsidRPr="00E779D1">
        <w:t>Covers all systems and platforms where sensitive data resides, including on-premises servers, cloud storage, backups, employee devices, and email systems.</w:t>
      </w:r>
    </w:p>
    <w:p w14:paraId="14A2B85F" w14:textId="77777777" w:rsidR="00186EAE" w:rsidRDefault="00186EAE" w:rsidP="00186EAE">
      <w:pPr>
        <w:pStyle w:val="Heading1"/>
      </w:pPr>
      <w:bookmarkStart w:id="3" w:name="_Toc182579082"/>
      <w:r w:rsidRPr="00186EAE">
        <w:t>Risk Identification</w:t>
      </w:r>
      <w:bookmarkEnd w:id="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1"/>
        <w:gridCol w:w="2478"/>
        <w:gridCol w:w="2276"/>
        <w:gridCol w:w="2003"/>
        <w:gridCol w:w="992"/>
      </w:tblGrid>
      <w:tr w:rsidR="00E779D1" w:rsidRPr="00E779D1" w14:paraId="67DFB11A" w14:textId="77777777" w:rsidTr="00E779D1">
        <w:trPr>
          <w:tblHeader/>
          <w:tblCellSpacing w:w="15" w:type="dxa"/>
        </w:trPr>
        <w:tc>
          <w:tcPr>
            <w:tcW w:w="0" w:type="auto"/>
            <w:vAlign w:val="center"/>
            <w:hideMark/>
          </w:tcPr>
          <w:p w14:paraId="5A36724D" w14:textId="77777777" w:rsidR="00E779D1" w:rsidRPr="00E779D1" w:rsidRDefault="00E779D1" w:rsidP="00E779D1">
            <w:pPr>
              <w:jc w:val="center"/>
              <w:rPr>
                <w:b/>
                <w:bCs/>
              </w:rPr>
            </w:pPr>
            <w:r w:rsidRPr="00E779D1">
              <w:rPr>
                <w:b/>
                <w:bCs/>
              </w:rPr>
              <w:t>Asset</w:t>
            </w:r>
          </w:p>
        </w:tc>
        <w:tc>
          <w:tcPr>
            <w:tcW w:w="0" w:type="auto"/>
            <w:vAlign w:val="center"/>
            <w:hideMark/>
          </w:tcPr>
          <w:p w14:paraId="75CBD813" w14:textId="77777777" w:rsidR="00E779D1" w:rsidRPr="00E779D1" w:rsidRDefault="00E779D1" w:rsidP="00E779D1">
            <w:pPr>
              <w:jc w:val="center"/>
              <w:rPr>
                <w:b/>
                <w:bCs/>
              </w:rPr>
            </w:pPr>
            <w:r w:rsidRPr="00E779D1">
              <w:rPr>
                <w:b/>
                <w:bCs/>
              </w:rPr>
              <w:t>Threat</w:t>
            </w:r>
          </w:p>
        </w:tc>
        <w:tc>
          <w:tcPr>
            <w:tcW w:w="0" w:type="auto"/>
            <w:vAlign w:val="center"/>
            <w:hideMark/>
          </w:tcPr>
          <w:p w14:paraId="282D4485" w14:textId="77777777" w:rsidR="00E779D1" w:rsidRPr="00E779D1" w:rsidRDefault="00E779D1" w:rsidP="00E779D1">
            <w:pPr>
              <w:jc w:val="center"/>
              <w:rPr>
                <w:b/>
                <w:bCs/>
              </w:rPr>
            </w:pPr>
            <w:r w:rsidRPr="00E779D1">
              <w:rPr>
                <w:b/>
                <w:bCs/>
              </w:rPr>
              <w:t>Vulnerability</w:t>
            </w:r>
          </w:p>
        </w:tc>
        <w:tc>
          <w:tcPr>
            <w:tcW w:w="0" w:type="auto"/>
            <w:vAlign w:val="center"/>
            <w:hideMark/>
          </w:tcPr>
          <w:p w14:paraId="6BAA6048" w14:textId="77777777" w:rsidR="00E779D1" w:rsidRPr="00E779D1" w:rsidRDefault="00E779D1" w:rsidP="00E779D1">
            <w:pPr>
              <w:jc w:val="center"/>
              <w:rPr>
                <w:b/>
                <w:bCs/>
              </w:rPr>
            </w:pPr>
            <w:r w:rsidRPr="00E779D1">
              <w:rPr>
                <w:b/>
                <w:bCs/>
              </w:rPr>
              <w:t>Impact</w:t>
            </w:r>
          </w:p>
        </w:tc>
        <w:tc>
          <w:tcPr>
            <w:tcW w:w="0" w:type="auto"/>
            <w:vAlign w:val="center"/>
            <w:hideMark/>
          </w:tcPr>
          <w:p w14:paraId="023C8C51" w14:textId="77777777" w:rsidR="00E779D1" w:rsidRPr="00E779D1" w:rsidRDefault="00E779D1" w:rsidP="00E779D1">
            <w:pPr>
              <w:jc w:val="center"/>
              <w:rPr>
                <w:b/>
                <w:bCs/>
              </w:rPr>
            </w:pPr>
            <w:r w:rsidRPr="00E779D1">
              <w:rPr>
                <w:b/>
                <w:bCs/>
              </w:rPr>
              <w:t>Risk Rating</w:t>
            </w:r>
          </w:p>
        </w:tc>
      </w:tr>
      <w:tr w:rsidR="00E779D1" w:rsidRPr="00E779D1" w14:paraId="00FA7362" w14:textId="77777777" w:rsidTr="00E779D1">
        <w:trPr>
          <w:tblCellSpacing w:w="15" w:type="dxa"/>
        </w:trPr>
        <w:tc>
          <w:tcPr>
            <w:tcW w:w="0" w:type="auto"/>
            <w:vAlign w:val="center"/>
            <w:hideMark/>
          </w:tcPr>
          <w:p w14:paraId="0B9A1CB3" w14:textId="77777777" w:rsidR="00E779D1" w:rsidRPr="00E779D1" w:rsidRDefault="00E779D1" w:rsidP="00E779D1">
            <w:r w:rsidRPr="00E779D1">
              <w:t>Customer Database</w:t>
            </w:r>
          </w:p>
        </w:tc>
        <w:tc>
          <w:tcPr>
            <w:tcW w:w="0" w:type="auto"/>
            <w:vAlign w:val="center"/>
            <w:hideMark/>
          </w:tcPr>
          <w:p w14:paraId="324BB8E0" w14:textId="77777777" w:rsidR="00E779D1" w:rsidRPr="00E779D1" w:rsidRDefault="00E779D1" w:rsidP="00E779D1">
            <w:r w:rsidRPr="00E779D1">
              <w:t>Unauthorized access by internal or external actors</w:t>
            </w:r>
          </w:p>
        </w:tc>
        <w:tc>
          <w:tcPr>
            <w:tcW w:w="0" w:type="auto"/>
            <w:vAlign w:val="center"/>
            <w:hideMark/>
          </w:tcPr>
          <w:p w14:paraId="1E00258B" w14:textId="77777777" w:rsidR="00E779D1" w:rsidRPr="00E779D1" w:rsidRDefault="00E779D1" w:rsidP="00E779D1">
            <w:r w:rsidRPr="00E779D1">
              <w:t>Weak access control policies, shared accounts, lack of encryption</w:t>
            </w:r>
          </w:p>
        </w:tc>
        <w:tc>
          <w:tcPr>
            <w:tcW w:w="0" w:type="auto"/>
            <w:vAlign w:val="center"/>
            <w:hideMark/>
          </w:tcPr>
          <w:p w14:paraId="06AD19DF" w14:textId="77777777" w:rsidR="00E779D1" w:rsidRPr="00E779D1" w:rsidRDefault="00E779D1" w:rsidP="00E779D1">
            <w:r w:rsidRPr="00E779D1">
              <w:t>Exposure of sensitive customer information, legal penalties</w:t>
            </w:r>
          </w:p>
        </w:tc>
        <w:tc>
          <w:tcPr>
            <w:tcW w:w="0" w:type="auto"/>
            <w:vAlign w:val="center"/>
            <w:hideMark/>
          </w:tcPr>
          <w:p w14:paraId="39C6215B" w14:textId="77777777" w:rsidR="00E779D1" w:rsidRPr="00E779D1" w:rsidRDefault="00E779D1" w:rsidP="00E779D1">
            <w:pPr>
              <w:jc w:val="center"/>
            </w:pPr>
            <w:r w:rsidRPr="00E779D1">
              <w:t>High</w:t>
            </w:r>
          </w:p>
        </w:tc>
      </w:tr>
      <w:tr w:rsidR="00E779D1" w:rsidRPr="00E779D1" w14:paraId="6F70383A" w14:textId="77777777" w:rsidTr="00E779D1">
        <w:trPr>
          <w:tblCellSpacing w:w="15" w:type="dxa"/>
        </w:trPr>
        <w:tc>
          <w:tcPr>
            <w:tcW w:w="0" w:type="auto"/>
            <w:vAlign w:val="center"/>
            <w:hideMark/>
          </w:tcPr>
          <w:p w14:paraId="2329297B" w14:textId="77777777" w:rsidR="00E779D1" w:rsidRPr="00E779D1" w:rsidRDefault="00E779D1" w:rsidP="00E779D1">
            <w:r w:rsidRPr="00E779D1">
              <w:t>Employee Records</w:t>
            </w:r>
          </w:p>
        </w:tc>
        <w:tc>
          <w:tcPr>
            <w:tcW w:w="0" w:type="auto"/>
            <w:vAlign w:val="center"/>
            <w:hideMark/>
          </w:tcPr>
          <w:p w14:paraId="7D2913F8" w14:textId="77777777" w:rsidR="00E779D1" w:rsidRPr="00E779D1" w:rsidRDefault="00E779D1" w:rsidP="00E779D1">
            <w:r w:rsidRPr="00E779D1">
              <w:t>Data exfiltration via phishing or malware</w:t>
            </w:r>
          </w:p>
        </w:tc>
        <w:tc>
          <w:tcPr>
            <w:tcW w:w="0" w:type="auto"/>
            <w:vAlign w:val="center"/>
            <w:hideMark/>
          </w:tcPr>
          <w:p w14:paraId="2BF016F4" w14:textId="77777777" w:rsidR="00E779D1" w:rsidRPr="00E779D1" w:rsidRDefault="00E779D1" w:rsidP="00E779D1">
            <w:r w:rsidRPr="00E779D1">
              <w:t>Lack of endpoint protection and monitoring</w:t>
            </w:r>
          </w:p>
        </w:tc>
        <w:tc>
          <w:tcPr>
            <w:tcW w:w="0" w:type="auto"/>
            <w:vAlign w:val="center"/>
            <w:hideMark/>
          </w:tcPr>
          <w:p w14:paraId="34AD68A1" w14:textId="77777777" w:rsidR="00E779D1" w:rsidRPr="00E779D1" w:rsidRDefault="00E779D1" w:rsidP="00E779D1">
            <w:r w:rsidRPr="00E779D1">
              <w:t>Identity theft and potential lawsuits</w:t>
            </w:r>
          </w:p>
        </w:tc>
        <w:tc>
          <w:tcPr>
            <w:tcW w:w="0" w:type="auto"/>
            <w:vAlign w:val="center"/>
            <w:hideMark/>
          </w:tcPr>
          <w:p w14:paraId="7B93C818" w14:textId="77777777" w:rsidR="00E779D1" w:rsidRPr="00E779D1" w:rsidRDefault="00E779D1" w:rsidP="00E779D1">
            <w:pPr>
              <w:jc w:val="center"/>
            </w:pPr>
            <w:r w:rsidRPr="00E779D1">
              <w:t>High</w:t>
            </w:r>
          </w:p>
        </w:tc>
      </w:tr>
      <w:tr w:rsidR="00E779D1" w:rsidRPr="00E779D1" w14:paraId="16C527A7" w14:textId="77777777" w:rsidTr="00E779D1">
        <w:trPr>
          <w:tblCellSpacing w:w="15" w:type="dxa"/>
        </w:trPr>
        <w:tc>
          <w:tcPr>
            <w:tcW w:w="0" w:type="auto"/>
            <w:vAlign w:val="center"/>
            <w:hideMark/>
          </w:tcPr>
          <w:p w14:paraId="3F29FE7C" w14:textId="77777777" w:rsidR="00E779D1" w:rsidRPr="00E779D1" w:rsidRDefault="00E779D1" w:rsidP="00E779D1">
            <w:r w:rsidRPr="00E779D1">
              <w:t>Cloud Storage</w:t>
            </w:r>
          </w:p>
        </w:tc>
        <w:tc>
          <w:tcPr>
            <w:tcW w:w="0" w:type="auto"/>
            <w:vAlign w:val="center"/>
            <w:hideMark/>
          </w:tcPr>
          <w:p w14:paraId="4914A6CD" w14:textId="77777777" w:rsidR="00E779D1" w:rsidRPr="00E779D1" w:rsidRDefault="00E779D1" w:rsidP="00E779D1">
            <w:r w:rsidRPr="00E779D1">
              <w:t>Accidental public exposure of private files</w:t>
            </w:r>
          </w:p>
        </w:tc>
        <w:tc>
          <w:tcPr>
            <w:tcW w:w="0" w:type="auto"/>
            <w:vAlign w:val="center"/>
            <w:hideMark/>
          </w:tcPr>
          <w:p w14:paraId="384FD273" w14:textId="77777777" w:rsidR="00E779D1" w:rsidRPr="00E779D1" w:rsidRDefault="00E779D1" w:rsidP="00E779D1">
            <w:r w:rsidRPr="00E779D1">
              <w:t>Misconfigured access permissions and lack of encryption</w:t>
            </w:r>
          </w:p>
        </w:tc>
        <w:tc>
          <w:tcPr>
            <w:tcW w:w="0" w:type="auto"/>
            <w:vAlign w:val="center"/>
            <w:hideMark/>
          </w:tcPr>
          <w:p w14:paraId="694966A8" w14:textId="77777777" w:rsidR="00E779D1" w:rsidRPr="00E779D1" w:rsidRDefault="00E779D1" w:rsidP="00E779D1">
            <w:r w:rsidRPr="00E779D1">
              <w:t>Breach of confidential data</w:t>
            </w:r>
          </w:p>
        </w:tc>
        <w:tc>
          <w:tcPr>
            <w:tcW w:w="0" w:type="auto"/>
            <w:vAlign w:val="center"/>
            <w:hideMark/>
          </w:tcPr>
          <w:p w14:paraId="3FF435EA" w14:textId="77777777" w:rsidR="00E779D1" w:rsidRPr="00E779D1" w:rsidRDefault="00E779D1" w:rsidP="00E779D1">
            <w:pPr>
              <w:jc w:val="center"/>
            </w:pPr>
            <w:r w:rsidRPr="00E779D1">
              <w:t>High</w:t>
            </w:r>
          </w:p>
        </w:tc>
      </w:tr>
      <w:tr w:rsidR="00E779D1" w:rsidRPr="00E779D1" w14:paraId="5FE797C9" w14:textId="77777777" w:rsidTr="00E779D1">
        <w:trPr>
          <w:tblCellSpacing w:w="15" w:type="dxa"/>
        </w:trPr>
        <w:tc>
          <w:tcPr>
            <w:tcW w:w="0" w:type="auto"/>
            <w:vAlign w:val="center"/>
            <w:hideMark/>
          </w:tcPr>
          <w:p w14:paraId="248EFCC0" w14:textId="77777777" w:rsidR="00E779D1" w:rsidRPr="00E779D1" w:rsidRDefault="00E779D1" w:rsidP="00E779D1">
            <w:r w:rsidRPr="00E779D1">
              <w:t>Backup Systems</w:t>
            </w:r>
          </w:p>
        </w:tc>
        <w:tc>
          <w:tcPr>
            <w:tcW w:w="0" w:type="auto"/>
            <w:vAlign w:val="center"/>
            <w:hideMark/>
          </w:tcPr>
          <w:p w14:paraId="1C830561" w14:textId="77777777" w:rsidR="00E779D1" w:rsidRPr="00E779D1" w:rsidRDefault="00E779D1" w:rsidP="00E779D1">
            <w:r w:rsidRPr="00E779D1">
              <w:t>Unsecured backups targeted during ransomware attacks</w:t>
            </w:r>
          </w:p>
        </w:tc>
        <w:tc>
          <w:tcPr>
            <w:tcW w:w="0" w:type="auto"/>
            <w:vAlign w:val="center"/>
            <w:hideMark/>
          </w:tcPr>
          <w:p w14:paraId="6972137B" w14:textId="77777777" w:rsidR="00E779D1" w:rsidRPr="00E779D1" w:rsidRDefault="00E779D1" w:rsidP="00E779D1">
            <w:r w:rsidRPr="00E779D1">
              <w:t>Lack of encryption and physical security for backup media</w:t>
            </w:r>
          </w:p>
        </w:tc>
        <w:tc>
          <w:tcPr>
            <w:tcW w:w="0" w:type="auto"/>
            <w:vAlign w:val="center"/>
            <w:hideMark/>
          </w:tcPr>
          <w:p w14:paraId="58624D31" w14:textId="77777777" w:rsidR="00E779D1" w:rsidRPr="00E779D1" w:rsidRDefault="00E779D1" w:rsidP="00E779D1">
            <w:r w:rsidRPr="00E779D1">
              <w:t>Permanent data loss and operational disruption</w:t>
            </w:r>
          </w:p>
        </w:tc>
        <w:tc>
          <w:tcPr>
            <w:tcW w:w="0" w:type="auto"/>
            <w:vAlign w:val="center"/>
            <w:hideMark/>
          </w:tcPr>
          <w:p w14:paraId="4E384623" w14:textId="77777777" w:rsidR="00E779D1" w:rsidRPr="00E779D1" w:rsidRDefault="00E779D1" w:rsidP="00E779D1">
            <w:pPr>
              <w:jc w:val="center"/>
            </w:pPr>
            <w:r w:rsidRPr="00E779D1">
              <w:t>High</w:t>
            </w:r>
          </w:p>
        </w:tc>
      </w:tr>
      <w:tr w:rsidR="00E779D1" w:rsidRPr="00E779D1" w14:paraId="4B2D2FA3" w14:textId="77777777" w:rsidTr="00E779D1">
        <w:trPr>
          <w:tblCellSpacing w:w="15" w:type="dxa"/>
        </w:trPr>
        <w:tc>
          <w:tcPr>
            <w:tcW w:w="0" w:type="auto"/>
            <w:vAlign w:val="center"/>
            <w:hideMark/>
          </w:tcPr>
          <w:p w14:paraId="52B6E983" w14:textId="77777777" w:rsidR="00E779D1" w:rsidRPr="00E779D1" w:rsidRDefault="00E779D1" w:rsidP="00E779D1">
            <w:r w:rsidRPr="00E779D1">
              <w:lastRenderedPageBreak/>
              <w:t>Collaboration Tools</w:t>
            </w:r>
          </w:p>
        </w:tc>
        <w:tc>
          <w:tcPr>
            <w:tcW w:w="0" w:type="auto"/>
            <w:vAlign w:val="center"/>
            <w:hideMark/>
          </w:tcPr>
          <w:p w14:paraId="4E292B38" w14:textId="77777777" w:rsidR="00E779D1" w:rsidRPr="00E779D1" w:rsidRDefault="00E779D1" w:rsidP="00E779D1">
            <w:r w:rsidRPr="00E779D1">
              <w:t>Unauthorized sharing of sensitive files via collaboration platforms (e.g., Teams, Slack)</w:t>
            </w:r>
          </w:p>
        </w:tc>
        <w:tc>
          <w:tcPr>
            <w:tcW w:w="0" w:type="auto"/>
            <w:vAlign w:val="center"/>
            <w:hideMark/>
          </w:tcPr>
          <w:p w14:paraId="1C6BDB03" w14:textId="77777777" w:rsidR="00E779D1" w:rsidRPr="00E779D1" w:rsidRDefault="00E779D1" w:rsidP="00E779D1">
            <w:r w:rsidRPr="00E779D1">
              <w:t>Overly permissive sharing settings</w:t>
            </w:r>
          </w:p>
        </w:tc>
        <w:tc>
          <w:tcPr>
            <w:tcW w:w="0" w:type="auto"/>
            <w:vAlign w:val="center"/>
            <w:hideMark/>
          </w:tcPr>
          <w:p w14:paraId="70BDC97E" w14:textId="77777777" w:rsidR="00E779D1" w:rsidRPr="00E779D1" w:rsidRDefault="00E779D1" w:rsidP="00E779D1">
            <w:r w:rsidRPr="00E779D1">
              <w:t>Data leaks, reputational damage</w:t>
            </w:r>
          </w:p>
        </w:tc>
        <w:tc>
          <w:tcPr>
            <w:tcW w:w="0" w:type="auto"/>
            <w:vAlign w:val="center"/>
            <w:hideMark/>
          </w:tcPr>
          <w:p w14:paraId="3BE7EAF3" w14:textId="77777777" w:rsidR="00E779D1" w:rsidRPr="00E779D1" w:rsidRDefault="00E779D1" w:rsidP="00E779D1">
            <w:pPr>
              <w:jc w:val="center"/>
            </w:pPr>
            <w:r w:rsidRPr="00E779D1">
              <w:t>Medium</w:t>
            </w:r>
          </w:p>
        </w:tc>
      </w:tr>
    </w:tbl>
    <w:p w14:paraId="2DCE851E" w14:textId="77777777" w:rsidR="00E779D1" w:rsidRDefault="00186EAE" w:rsidP="00E779D1">
      <w:pPr>
        <w:pStyle w:val="Heading1"/>
      </w:pPr>
      <w:bookmarkStart w:id="4" w:name="_Toc182579083"/>
      <w:r w:rsidRPr="00186EAE">
        <w:t>Risk Analysis</w:t>
      </w:r>
      <w:bookmarkEnd w:id="4"/>
    </w:p>
    <w:tbl>
      <w:tblPr>
        <w:tblW w:w="93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4"/>
        <w:gridCol w:w="1573"/>
        <w:gridCol w:w="2321"/>
        <w:gridCol w:w="2620"/>
      </w:tblGrid>
      <w:tr w:rsidR="00E779D1" w:rsidRPr="00E779D1" w14:paraId="0BD9B5BD" w14:textId="77777777" w:rsidTr="00E779D1">
        <w:trPr>
          <w:trHeight w:val="482"/>
          <w:tblHeader/>
          <w:tblCellSpacing w:w="15" w:type="dxa"/>
        </w:trPr>
        <w:tc>
          <w:tcPr>
            <w:tcW w:w="0" w:type="auto"/>
            <w:vAlign w:val="center"/>
            <w:hideMark/>
          </w:tcPr>
          <w:p w14:paraId="29872748" w14:textId="77777777" w:rsidR="00E779D1" w:rsidRPr="00E779D1" w:rsidRDefault="00E779D1" w:rsidP="00E779D1">
            <w:pPr>
              <w:jc w:val="center"/>
              <w:rPr>
                <w:b/>
                <w:bCs/>
              </w:rPr>
            </w:pPr>
            <w:r w:rsidRPr="00E779D1">
              <w:rPr>
                <w:b/>
                <w:bCs/>
              </w:rPr>
              <w:t>Asset</w:t>
            </w:r>
          </w:p>
        </w:tc>
        <w:tc>
          <w:tcPr>
            <w:tcW w:w="0" w:type="auto"/>
            <w:vAlign w:val="center"/>
            <w:hideMark/>
          </w:tcPr>
          <w:p w14:paraId="40FACBB3" w14:textId="77777777" w:rsidR="00E779D1" w:rsidRPr="00E779D1" w:rsidRDefault="00E779D1" w:rsidP="00E779D1">
            <w:pPr>
              <w:jc w:val="center"/>
              <w:rPr>
                <w:b/>
                <w:bCs/>
              </w:rPr>
            </w:pPr>
            <w:r w:rsidRPr="00E779D1">
              <w:rPr>
                <w:b/>
                <w:bCs/>
              </w:rPr>
              <w:t>Likelihood</w:t>
            </w:r>
          </w:p>
        </w:tc>
        <w:tc>
          <w:tcPr>
            <w:tcW w:w="0" w:type="auto"/>
            <w:vAlign w:val="center"/>
            <w:hideMark/>
          </w:tcPr>
          <w:p w14:paraId="706563FF" w14:textId="77777777" w:rsidR="00E779D1" w:rsidRPr="00E779D1" w:rsidRDefault="00E779D1" w:rsidP="00E779D1">
            <w:pPr>
              <w:jc w:val="center"/>
              <w:rPr>
                <w:b/>
                <w:bCs/>
              </w:rPr>
            </w:pPr>
            <w:r w:rsidRPr="00E779D1">
              <w:rPr>
                <w:b/>
                <w:bCs/>
              </w:rPr>
              <w:t>Impact Severity</w:t>
            </w:r>
          </w:p>
        </w:tc>
        <w:tc>
          <w:tcPr>
            <w:tcW w:w="0" w:type="auto"/>
            <w:vAlign w:val="center"/>
            <w:hideMark/>
          </w:tcPr>
          <w:p w14:paraId="7CBA22E5" w14:textId="77777777" w:rsidR="00E779D1" w:rsidRPr="00E779D1" w:rsidRDefault="00E779D1" w:rsidP="00E779D1">
            <w:pPr>
              <w:jc w:val="center"/>
              <w:rPr>
                <w:b/>
                <w:bCs/>
              </w:rPr>
            </w:pPr>
            <w:r w:rsidRPr="00E779D1">
              <w:rPr>
                <w:b/>
                <w:bCs/>
              </w:rPr>
              <w:t>Overall Risk Level</w:t>
            </w:r>
          </w:p>
        </w:tc>
      </w:tr>
      <w:tr w:rsidR="00E779D1" w:rsidRPr="00E779D1" w14:paraId="6124B5F7" w14:textId="77777777" w:rsidTr="00E779D1">
        <w:trPr>
          <w:trHeight w:val="482"/>
          <w:tblCellSpacing w:w="15" w:type="dxa"/>
        </w:trPr>
        <w:tc>
          <w:tcPr>
            <w:tcW w:w="0" w:type="auto"/>
            <w:vAlign w:val="center"/>
            <w:hideMark/>
          </w:tcPr>
          <w:p w14:paraId="3A1DC198" w14:textId="77777777" w:rsidR="00E779D1" w:rsidRPr="00E779D1" w:rsidRDefault="00E779D1" w:rsidP="00E779D1">
            <w:r w:rsidRPr="00E779D1">
              <w:t>Customer Database</w:t>
            </w:r>
          </w:p>
        </w:tc>
        <w:tc>
          <w:tcPr>
            <w:tcW w:w="0" w:type="auto"/>
            <w:vAlign w:val="center"/>
            <w:hideMark/>
          </w:tcPr>
          <w:p w14:paraId="2298A4F5" w14:textId="77777777" w:rsidR="00E779D1" w:rsidRPr="00E779D1" w:rsidRDefault="00E779D1" w:rsidP="00E779D1">
            <w:pPr>
              <w:jc w:val="center"/>
            </w:pPr>
            <w:r w:rsidRPr="00E779D1">
              <w:t>High</w:t>
            </w:r>
          </w:p>
        </w:tc>
        <w:tc>
          <w:tcPr>
            <w:tcW w:w="0" w:type="auto"/>
            <w:vAlign w:val="center"/>
            <w:hideMark/>
          </w:tcPr>
          <w:p w14:paraId="54FD2272" w14:textId="77777777" w:rsidR="00E779D1" w:rsidRPr="00E779D1" w:rsidRDefault="00E779D1" w:rsidP="00E779D1">
            <w:pPr>
              <w:jc w:val="center"/>
            </w:pPr>
            <w:r w:rsidRPr="00E779D1">
              <w:t>High</w:t>
            </w:r>
          </w:p>
        </w:tc>
        <w:tc>
          <w:tcPr>
            <w:tcW w:w="0" w:type="auto"/>
            <w:vAlign w:val="center"/>
            <w:hideMark/>
          </w:tcPr>
          <w:p w14:paraId="0E1F4848" w14:textId="77777777" w:rsidR="00E779D1" w:rsidRPr="00E779D1" w:rsidRDefault="00E779D1" w:rsidP="00E779D1">
            <w:pPr>
              <w:jc w:val="center"/>
            </w:pPr>
            <w:r w:rsidRPr="00E779D1">
              <w:t>Critical</w:t>
            </w:r>
          </w:p>
        </w:tc>
      </w:tr>
      <w:tr w:rsidR="00E779D1" w:rsidRPr="00E779D1" w14:paraId="131D3D97" w14:textId="77777777" w:rsidTr="00E779D1">
        <w:trPr>
          <w:trHeight w:val="482"/>
          <w:tblCellSpacing w:w="15" w:type="dxa"/>
        </w:trPr>
        <w:tc>
          <w:tcPr>
            <w:tcW w:w="0" w:type="auto"/>
            <w:vAlign w:val="center"/>
            <w:hideMark/>
          </w:tcPr>
          <w:p w14:paraId="5865AD54" w14:textId="77777777" w:rsidR="00E779D1" w:rsidRPr="00E779D1" w:rsidRDefault="00E779D1" w:rsidP="00E779D1">
            <w:r w:rsidRPr="00E779D1">
              <w:t>Employee Records</w:t>
            </w:r>
          </w:p>
        </w:tc>
        <w:tc>
          <w:tcPr>
            <w:tcW w:w="0" w:type="auto"/>
            <w:vAlign w:val="center"/>
            <w:hideMark/>
          </w:tcPr>
          <w:p w14:paraId="4FB75F3C" w14:textId="77777777" w:rsidR="00E779D1" w:rsidRPr="00E779D1" w:rsidRDefault="00E779D1" w:rsidP="00E779D1">
            <w:pPr>
              <w:jc w:val="center"/>
            </w:pPr>
            <w:r w:rsidRPr="00E779D1">
              <w:t>High</w:t>
            </w:r>
          </w:p>
        </w:tc>
        <w:tc>
          <w:tcPr>
            <w:tcW w:w="0" w:type="auto"/>
            <w:vAlign w:val="center"/>
            <w:hideMark/>
          </w:tcPr>
          <w:p w14:paraId="48CD53F8" w14:textId="77777777" w:rsidR="00E779D1" w:rsidRPr="00E779D1" w:rsidRDefault="00E779D1" w:rsidP="00E779D1">
            <w:pPr>
              <w:jc w:val="center"/>
            </w:pPr>
            <w:r w:rsidRPr="00E779D1">
              <w:t>High</w:t>
            </w:r>
          </w:p>
        </w:tc>
        <w:tc>
          <w:tcPr>
            <w:tcW w:w="0" w:type="auto"/>
            <w:vAlign w:val="center"/>
            <w:hideMark/>
          </w:tcPr>
          <w:p w14:paraId="081B1C67" w14:textId="77777777" w:rsidR="00E779D1" w:rsidRPr="00E779D1" w:rsidRDefault="00E779D1" w:rsidP="00E779D1">
            <w:pPr>
              <w:jc w:val="center"/>
            </w:pPr>
            <w:r w:rsidRPr="00E779D1">
              <w:t>Critical</w:t>
            </w:r>
          </w:p>
        </w:tc>
      </w:tr>
      <w:tr w:rsidR="00E779D1" w:rsidRPr="00E779D1" w14:paraId="05CDCBA0" w14:textId="77777777" w:rsidTr="00E779D1">
        <w:trPr>
          <w:trHeight w:val="467"/>
          <w:tblCellSpacing w:w="15" w:type="dxa"/>
        </w:trPr>
        <w:tc>
          <w:tcPr>
            <w:tcW w:w="0" w:type="auto"/>
            <w:vAlign w:val="center"/>
            <w:hideMark/>
          </w:tcPr>
          <w:p w14:paraId="63D076BC" w14:textId="77777777" w:rsidR="00E779D1" w:rsidRPr="00E779D1" w:rsidRDefault="00E779D1" w:rsidP="00E779D1">
            <w:r w:rsidRPr="00E779D1">
              <w:t>Cloud Storage</w:t>
            </w:r>
          </w:p>
        </w:tc>
        <w:tc>
          <w:tcPr>
            <w:tcW w:w="0" w:type="auto"/>
            <w:vAlign w:val="center"/>
            <w:hideMark/>
          </w:tcPr>
          <w:p w14:paraId="4F6802EE" w14:textId="77777777" w:rsidR="00E779D1" w:rsidRPr="00E779D1" w:rsidRDefault="00E779D1" w:rsidP="00E779D1">
            <w:pPr>
              <w:jc w:val="center"/>
            </w:pPr>
            <w:r w:rsidRPr="00E779D1">
              <w:t>High</w:t>
            </w:r>
          </w:p>
        </w:tc>
        <w:tc>
          <w:tcPr>
            <w:tcW w:w="0" w:type="auto"/>
            <w:vAlign w:val="center"/>
            <w:hideMark/>
          </w:tcPr>
          <w:p w14:paraId="64454F3B" w14:textId="77777777" w:rsidR="00E779D1" w:rsidRPr="00E779D1" w:rsidRDefault="00E779D1" w:rsidP="00E779D1">
            <w:pPr>
              <w:jc w:val="center"/>
            </w:pPr>
            <w:r w:rsidRPr="00E779D1">
              <w:t>High</w:t>
            </w:r>
          </w:p>
        </w:tc>
        <w:tc>
          <w:tcPr>
            <w:tcW w:w="0" w:type="auto"/>
            <w:vAlign w:val="center"/>
            <w:hideMark/>
          </w:tcPr>
          <w:p w14:paraId="51FD846B" w14:textId="77777777" w:rsidR="00E779D1" w:rsidRPr="00E779D1" w:rsidRDefault="00E779D1" w:rsidP="00E779D1">
            <w:pPr>
              <w:jc w:val="center"/>
            </w:pPr>
            <w:r w:rsidRPr="00E779D1">
              <w:t>Critical</w:t>
            </w:r>
          </w:p>
        </w:tc>
      </w:tr>
      <w:tr w:rsidR="00E779D1" w:rsidRPr="00E779D1" w14:paraId="312EB558" w14:textId="77777777" w:rsidTr="00E779D1">
        <w:trPr>
          <w:trHeight w:val="482"/>
          <w:tblCellSpacing w:w="15" w:type="dxa"/>
        </w:trPr>
        <w:tc>
          <w:tcPr>
            <w:tcW w:w="0" w:type="auto"/>
            <w:vAlign w:val="center"/>
            <w:hideMark/>
          </w:tcPr>
          <w:p w14:paraId="430968EE" w14:textId="77777777" w:rsidR="00E779D1" w:rsidRPr="00E779D1" w:rsidRDefault="00E779D1" w:rsidP="00E779D1">
            <w:r w:rsidRPr="00E779D1">
              <w:t>Backup Systems</w:t>
            </w:r>
          </w:p>
        </w:tc>
        <w:tc>
          <w:tcPr>
            <w:tcW w:w="0" w:type="auto"/>
            <w:vAlign w:val="center"/>
            <w:hideMark/>
          </w:tcPr>
          <w:p w14:paraId="5B0B47F4" w14:textId="77777777" w:rsidR="00E779D1" w:rsidRPr="00E779D1" w:rsidRDefault="00E779D1" w:rsidP="00E779D1">
            <w:pPr>
              <w:jc w:val="center"/>
            </w:pPr>
            <w:r w:rsidRPr="00E779D1">
              <w:t>Medium</w:t>
            </w:r>
          </w:p>
        </w:tc>
        <w:tc>
          <w:tcPr>
            <w:tcW w:w="0" w:type="auto"/>
            <w:vAlign w:val="center"/>
            <w:hideMark/>
          </w:tcPr>
          <w:p w14:paraId="5AD43F25" w14:textId="77777777" w:rsidR="00E779D1" w:rsidRPr="00E779D1" w:rsidRDefault="00E779D1" w:rsidP="00E779D1">
            <w:pPr>
              <w:jc w:val="center"/>
            </w:pPr>
            <w:r w:rsidRPr="00E779D1">
              <w:t>High</w:t>
            </w:r>
          </w:p>
        </w:tc>
        <w:tc>
          <w:tcPr>
            <w:tcW w:w="0" w:type="auto"/>
            <w:vAlign w:val="center"/>
            <w:hideMark/>
          </w:tcPr>
          <w:p w14:paraId="1B8750AD" w14:textId="77777777" w:rsidR="00E779D1" w:rsidRPr="00E779D1" w:rsidRDefault="00E779D1" w:rsidP="00E779D1">
            <w:pPr>
              <w:jc w:val="center"/>
            </w:pPr>
            <w:r w:rsidRPr="00E779D1">
              <w:t>High</w:t>
            </w:r>
          </w:p>
        </w:tc>
      </w:tr>
      <w:tr w:rsidR="00E779D1" w:rsidRPr="00E779D1" w14:paraId="0D428873" w14:textId="77777777" w:rsidTr="00E779D1">
        <w:trPr>
          <w:trHeight w:val="482"/>
          <w:tblCellSpacing w:w="15" w:type="dxa"/>
        </w:trPr>
        <w:tc>
          <w:tcPr>
            <w:tcW w:w="0" w:type="auto"/>
            <w:vAlign w:val="center"/>
            <w:hideMark/>
          </w:tcPr>
          <w:p w14:paraId="67EFC928" w14:textId="77777777" w:rsidR="00E779D1" w:rsidRPr="00E779D1" w:rsidRDefault="00E779D1" w:rsidP="00E779D1">
            <w:r w:rsidRPr="00E779D1">
              <w:t>Collaboration Tools</w:t>
            </w:r>
          </w:p>
        </w:tc>
        <w:tc>
          <w:tcPr>
            <w:tcW w:w="0" w:type="auto"/>
            <w:vAlign w:val="center"/>
            <w:hideMark/>
          </w:tcPr>
          <w:p w14:paraId="7504FBB7" w14:textId="77777777" w:rsidR="00E779D1" w:rsidRPr="00E779D1" w:rsidRDefault="00E779D1" w:rsidP="00E779D1">
            <w:pPr>
              <w:jc w:val="center"/>
            </w:pPr>
            <w:r w:rsidRPr="00E779D1">
              <w:t>Medium</w:t>
            </w:r>
          </w:p>
        </w:tc>
        <w:tc>
          <w:tcPr>
            <w:tcW w:w="0" w:type="auto"/>
            <w:vAlign w:val="center"/>
            <w:hideMark/>
          </w:tcPr>
          <w:p w14:paraId="5B3982CE" w14:textId="77777777" w:rsidR="00E779D1" w:rsidRPr="00E779D1" w:rsidRDefault="00E779D1" w:rsidP="00E779D1">
            <w:pPr>
              <w:jc w:val="center"/>
            </w:pPr>
            <w:r w:rsidRPr="00E779D1">
              <w:t>Medium</w:t>
            </w:r>
          </w:p>
        </w:tc>
        <w:tc>
          <w:tcPr>
            <w:tcW w:w="0" w:type="auto"/>
            <w:vAlign w:val="center"/>
            <w:hideMark/>
          </w:tcPr>
          <w:p w14:paraId="485C0542" w14:textId="77777777" w:rsidR="00E779D1" w:rsidRPr="00E779D1" w:rsidRDefault="00E779D1" w:rsidP="00E779D1">
            <w:pPr>
              <w:jc w:val="center"/>
            </w:pPr>
            <w:r w:rsidRPr="00E779D1">
              <w:t>Moderate</w:t>
            </w:r>
          </w:p>
        </w:tc>
      </w:tr>
    </w:tbl>
    <w:p w14:paraId="3D63A049" w14:textId="77777777" w:rsidR="00E779D1" w:rsidRDefault="00186EAE" w:rsidP="00E779D1">
      <w:pPr>
        <w:pStyle w:val="Heading1"/>
      </w:pPr>
      <w:bookmarkStart w:id="5" w:name="_Toc182579084"/>
      <w:r w:rsidRPr="00186EAE">
        <w:t>Mitigation Recommendations</w:t>
      </w:r>
      <w:bookmarkEnd w:id="5"/>
    </w:p>
    <w:p w14:paraId="45943132" w14:textId="692ACF30" w:rsidR="00E779D1" w:rsidRPr="00E779D1" w:rsidRDefault="00E779D1" w:rsidP="00E779D1">
      <w:pPr>
        <w:pStyle w:val="Heading2"/>
      </w:pPr>
      <w:bookmarkStart w:id="6" w:name="_Toc182579085"/>
      <w:r w:rsidRPr="00E779D1">
        <w:t>Customer Database</w:t>
      </w:r>
      <w:bookmarkEnd w:id="6"/>
    </w:p>
    <w:p w14:paraId="613034E3" w14:textId="77777777" w:rsidR="00E779D1" w:rsidRPr="00E779D1" w:rsidRDefault="00E779D1" w:rsidP="00E779D1">
      <w:pPr>
        <w:numPr>
          <w:ilvl w:val="0"/>
          <w:numId w:val="14"/>
        </w:numPr>
      </w:pPr>
      <w:r w:rsidRPr="00E779D1">
        <w:t xml:space="preserve">Enforce </w:t>
      </w:r>
      <w:r w:rsidRPr="00E779D1">
        <w:rPr>
          <w:b/>
          <w:bCs/>
        </w:rPr>
        <w:t>fine-grained access control policies</w:t>
      </w:r>
      <w:r w:rsidRPr="00E779D1">
        <w:t>, including segregation of duties for database administrators.</w:t>
      </w:r>
    </w:p>
    <w:p w14:paraId="1169CD9F" w14:textId="77777777" w:rsidR="00E779D1" w:rsidRPr="00E779D1" w:rsidRDefault="00E779D1" w:rsidP="00E779D1">
      <w:pPr>
        <w:numPr>
          <w:ilvl w:val="0"/>
          <w:numId w:val="14"/>
        </w:numPr>
      </w:pPr>
      <w:r w:rsidRPr="00E779D1">
        <w:t xml:space="preserve">Deploy </w:t>
      </w:r>
      <w:r w:rsidRPr="00E779D1">
        <w:rPr>
          <w:b/>
          <w:bCs/>
        </w:rPr>
        <w:t>real-time activity monitoring tools</w:t>
      </w:r>
      <w:r w:rsidRPr="00E779D1">
        <w:t xml:space="preserve"> to track access to sensitive data fields and detect anomalies.</w:t>
      </w:r>
    </w:p>
    <w:p w14:paraId="2302087B" w14:textId="77777777" w:rsidR="00E779D1" w:rsidRPr="00E779D1" w:rsidRDefault="00E779D1" w:rsidP="00E779D1">
      <w:pPr>
        <w:numPr>
          <w:ilvl w:val="0"/>
          <w:numId w:val="14"/>
        </w:numPr>
      </w:pPr>
      <w:r w:rsidRPr="00E779D1">
        <w:t xml:space="preserve">Enable </w:t>
      </w:r>
      <w:r w:rsidRPr="00E779D1">
        <w:rPr>
          <w:b/>
          <w:bCs/>
        </w:rPr>
        <w:t>transparent data encryption (TDE)</w:t>
      </w:r>
      <w:r w:rsidRPr="00E779D1">
        <w:t xml:space="preserve"> at the database level.</w:t>
      </w:r>
    </w:p>
    <w:p w14:paraId="200C279C" w14:textId="77777777" w:rsidR="00E779D1" w:rsidRPr="00E779D1" w:rsidRDefault="00E779D1" w:rsidP="00E779D1">
      <w:pPr>
        <w:numPr>
          <w:ilvl w:val="0"/>
          <w:numId w:val="14"/>
        </w:numPr>
      </w:pPr>
      <w:r w:rsidRPr="00E779D1">
        <w:t xml:space="preserve">Conduct </w:t>
      </w:r>
      <w:r w:rsidRPr="00E779D1">
        <w:rPr>
          <w:b/>
          <w:bCs/>
        </w:rPr>
        <w:t>penetration testing</w:t>
      </w:r>
      <w:r w:rsidRPr="00E779D1">
        <w:t xml:space="preserve"> to identify potential SQL injection vulnerabilities.</w:t>
      </w:r>
    </w:p>
    <w:p w14:paraId="0D5845BF" w14:textId="31F8B020" w:rsidR="00E779D1" w:rsidRPr="00E779D1" w:rsidRDefault="00E779D1" w:rsidP="00E779D1">
      <w:pPr>
        <w:pStyle w:val="Heading2"/>
      </w:pPr>
      <w:bookmarkStart w:id="7" w:name="_Toc182579086"/>
      <w:r w:rsidRPr="00E779D1">
        <w:t>Employee Records</w:t>
      </w:r>
      <w:bookmarkEnd w:id="7"/>
    </w:p>
    <w:p w14:paraId="0E785B19" w14:textId="77777777" w:rsidR="00E779D1" w:rsidRPr="00E779D1" w:rsidRDefault="00E779D1" w:rsidP="00E779D1">
      <w:pPr>
        <w:numPr>
          <w:ilvl w:val="0"/>
          <w:numId w:val="15"/>
        </w:numPr>
      </w:pPr>
      <w:r w:rsidRPr="00E779D1">
        <w:t xml:space="preserve">Integrate </w:t>
      </w:r>
      <w:r w:rsidRPr="00E779D1">
        <w:rPr>
          <w:b/>
          <w:bCs/>
        </w:rPr>
        <w:t>endpoint detection and response (EDR)</w:t>
      </w:r>
      <w:r w:rsidRPr="00E779D1">
        <w:t xml:space="preserve"> tools to monitor devices for suspicious activity.</w:t>
      </w:r>
    </w:p>
    <w:p w14:paraId="3A4B9617" w14:textId="77777777" w:rsidR="00E779D1" w:rsidRPr="00E779D1" w:rsidRDefault="00E779D1" w:rsidP="00E779D1">
      <w:pPr>
        <w:numPr>
          <w:ilvl w:val="0"/>
          <w:numId w:val="15"/>
        </w:numPr>
      </w:pPr>
      <w:r w:rsidRPr="00E779D1">
        <w:lastRenderedPageBreak/>
        <w:t xml:space="preserve">Restrict access to employee records using </w:t>
      </w:r>
      <w:r w:rsidRPr="00E779D1">
        <w:rPr>
          <w:b/>
          <w:bCs/>
        </w:rPr>
        <w:t>zero-trust security</w:t>
      </w:r>
      <w:r w:rsidRPr="00E779D1">
        <w:t xml:space="preserve"> principles.</w:t>
      </w:r>
    </w:p>
    <w:p w14:paraId="00C9B931" w14:textId="77777777" w:rsidR="00E779D1" w:rsidRPr="00E779D1" w:rsidRDefault="00E779D1" w:rsidP="00E779D1">
      <w:pPr>
        <w:numPr>
          <w:ilvl w:val="0"/>
          <w:numId w:val="15"/>
        </w:numPr>
      </w:pPr>
      <w:r w:rsidRPr="00E779D1">
        <w:t>Provide employees with training on recognizing phishing attacks and secure file sharing.</w:t>
      </w:r>
    </w:p>
    <w:p w14:paraId="55D22F31" w14:textId="77777777" w:rsidR="00E779D1" w:rsidRPr="00E779D1" w:rsidRDefault="00E779D1" w:rsidP="00E779D1">
      <w:pPr>
        <w:numPr>
          <w:ilvl w:val="0"/>
          <w:numId w:val="15"/>
        </w:numPr>
      </w:pPr>
      <w:r w:rsidRPr="00E779D1">
        <w:t>Regularly review and purge outdated employee records that are no longer needed.</w:t>
      </w:r>
    </w:p>
    <w:p w14:paraId="7B6952F3" w14:textId="24F7D9AC" w:rsidR="00E779D1" w:rsidRPr="00E779D1" w:rsidRDefault="00E779D1" w:rsidP="00E779D1">
      <w:pPr>
        <w:pStyle w:val="Heading2"/>
      </w:pPr>
      <w:bookmarkStart w:id="8" w:name="_Toc182579087"/>
      <w:r w:rsidRPr="00E779D1">
        <w:t>Cloud Storage</w:t>
      </w:r>
      <w:bookmarkEnd w:id="8"/>
    </w:p>
    <w:p w14:paraId="12A02C04" w14:textId="77777777" w:rsidR="00E779D1" w:rsidRPr="00E779D1" w:rsidRDefault="00E779D1" w:rsidP="00E779D1">
      <w:pPr>
        <w:numPr>
          <w:ilvl w:val="0"/>
          <w:numId w:val="16"/>
        </w:numPr>
      </w:pPr>
      <w:r w:rsidRPr="00E779D1">
        <w:t xml:space="preserve">Utilize </w:t>
      </w:r>
      <w:r w:rsidRPr="00E779D1">
        <w:rPr>
          <w:b/>
          <w:bCs/>
        </w:rPr>
        <w:t>cloud security posture management (CSPM)</w:t>
      </w:r>
      <w:r w:rsidRPr="00E779D1">
        <w:t xml:space="preserve"> tools to continuously monitor and enforce secure configurations.</w:t>
      </w:r>
    </w:p>
    <w:p w14:paraId="25C5531F" w14:textId="77777777" w:rsidR="00E779D1" w:rsidRPr="00E779D1" w:rsidRDefault="00E779D1" w:rsidP="00E779D1">
      <w:pPr>
        <w:numPr>
          <w:ilvl w:val="0"/>
          <w:numId w:val="16"/>
        </w:numPr>
      </w:pPr>
      <w:r w:rsidRPr="00E779D1">
        <w:t xml:space="preserve">Apply </w:t>
      </w:r>
      <w:r w:rsidRPr="00E779D1">
        <w:rPr>
          <w:b/>
          <w:bCs/>
        </w:rPr>
        <w:t>server-side encryption</w:t>
      </w:r>
      <w:r w:rsidRPr="00E779D1">
        <w:t xml:space="preserve"> for all files stored in the cloud.</w:t>
      </w:r>
    </w:p>
    <w:p w14:paraId="1E12928C" w14:textId="77777777" w:rsidR="00E779D1" w:rsidRPr="00E779D1" w:rsidRDefault="00E779D1" w:rsidP="00E779D1">
      <w:pPr>
        <w:numPr>
          <w:ilvl w:val="0"/>
          <w:numId w:val="16"/>
        </w:numPr>
      </w:pPr>
      <w:r w:rsidRPr="00E779D1">
        <w:t xml:space="preserve">Restrict access to sensitive data by implementing </w:t>
      </w:r>
      <w:r w:rsidRPr="00E779D1">
        <w:rPr>
          <w:b/>
          <w:bCs/>
        </w:rPr>
        <w:t>geo-restrictions</w:t>
      </w:r>
      <w:r w:rsidRPr="00E779D1">
        <w:t xml:space="preserve"> and </w:t>
      </w:r>
      <w:r w:rsidRPr="00E779D1">
        <w:rPr>
          <w:b/>
          <w:bCs/>
        </w:rPr>
        <w:t>IP whitelisting</w:t>
      </w:r>
      <w:r w:rsidRPr="00E779D1">
        <w:t>.</w:t>
      </w:r>
    </w:p>
    <w:p w14:paraId="498CC6DF" w14:textId="2092A1DB" w:rsidR="00E779D1" w:rsidRPr="00E779D1" w:rsidRDefault="00E779D1" w:rsidP="00E779D1">
      <w:pPr>
        <w:pStyle w:val="Heading2"/>
      </w:pPr>
      <w:bookmarkStart w:id="9" w:name="_Toc182579088"/>
      <w:r w:rsidRPr="00E779D1">
        <w:t>Backup Systems</w:t>
      </w:r>
      <w:bookmarkEnd w:id="9"/>
    </w:p>
    <w:p w14:paraId="38B633D3" w14:textId="77777777" w:rsidR="00E779D1" w:rsidRPr="00E779D1" w:rsidRDefault="00E779D1" w:rsidP="00E779D1">
      <w:pPr>
        <w:numPr>
          <w:ilvl w:val="0"/>
          <w:numId w:val="17"/>
        </w:numPr>
      </w:pPr>
      <w:r w:rsidRPr="00E779D1">
        <w:t>Encrypt all backup data at rest and during transmission using industry-standard protocols.</w:t>
      </w:r>
    </w:p>
    <w:p w14:paraId="40EF0530" w14:textId="77777777" w:rsidR="00E779D1" w:rsidRPr="00E779D1" w:rsidRDefault="00E779D1" w:rsidP="00E779D1">
      <w:pPr>
        <w:numPr>
          <w:ilvl w:val="0"/>
          <w:numId w:val="17"/>
        </w:numPr>
      </w:pPr>
      <w:r w:rsidRPr="00E779D1">
        <w:t xml:space="preserve">Maintain </w:t>
      </w:r>
      <w:r w:rsidRPr="00E779D1">
        <w:rPr>
          <w:b/>
          <w:bCs/>
        </w:rPr>
        <w:t>offsite and immutable backups</w:t>
      </w:r>
      <w:r w:rsidRPr="00E779D1">
        <w:t xml:space="preserve"> to prevent tampering by ransomware.</w:t>
      </w:r>
    </w:p>
    <w:p w14:paraId="2CA6CC9E" w14:textId="77777777" w:rsidR="00E779D1" w:rsidRPr="00E779D1" w:rsidRDefault="00E779D1" w:rsidP="00E779D1">
      <w:pPr>
        <w:numPr>
          <w:ilvl w:val="0"/>
          <w:numId w:val="17"/>
        </w:numPr>
      </w:pPr>
      <w:r w:rsidRPr="00E779D1">
        <w:t xml:space="preserve">Conduct </w:t>
      </w:r>
      <w:r w:rsidRPr="00E779D1">
        <w:rPr>
          <w:b/>
          <w:bCs/>
        </w:rPr>
        <w:t>regular disaster recovery drills</w:t>
      </w:r>
      <w:r w:rsidRPr="00E779D1">
        <w:t xml:space="preserve"> to ensure data can be restored within acceptable recovery time objectives (RTOs).</w:t>
      </w:r>
    </w:p>
    <w:p w14:paraId="16049C7F" w14:textId="236A050C" w:rsidR="00E779D1" w:rsidRPr="00E779D1" w:rsidRDefault="00E779D1" w:rsidP="00E779D1">
      <w:pPr>
        <w:pStyle w:val="Heading2"/>
      </w:pPr>
      <w:bookmarkStart w:id="10" w:name="_Toc182579089"/>
      <w:r w:rsidRPr="00E779D1">
        <w:t>Collaboration Tools</w:t>
      </w:r>
      <w:bookmarkEnd w:id="10"/>
    </w:p>
    <w:p w14:paraId="49F47879" w14:textId="77777777" w:rsidR="00E779D1" w:rsidRPr="00E779D1" w:rsidRDefault="00E779D1" w:rsidP="00E779D1">
      <w:pPr>
        <w:numPr>
          <w:ilvl w:val="0"/>
          <w:numId w:val="18"/>
        </w:numPr>
      </w:pPr>
      <w:r w:rsidRPr="00E779D1">
        <w:t xml:space="preserve">Implement </w:t>
      </w:r>
      <w:r w:rsidRPr="00E779D1">
        <w:rPr>
          <w:b/>
          <w:bCs/>
        </w:rPr>
        <w:t>data loss prevention (DLP)</w:t>
      </w:r>
      <w:r w:rsidRPr="00E779D1">
        <w:t xml:space="preserve"> rules to monitor and control file sharing.</w:t>
      </w:r>
    </w:p>
    <w:p w14:paraId="42BE869C" w14:textId="77777777" w:rsidR="00E779D1" w:rsidRPr="00E779D1" w:rsidRDefault="00E779D1" w:rsidP="00E779D1">
      <w:pPr>
        <w:numPr>
          <w:ilvl w:val="0"/>
          <w:numId w:val="18"/>
        </w:numPr>
      </w:pPr>
      <w:r w:rsidRPr="00E779D1">
        <w:t>Restrict external file sharing capabilities to approved accounts only.</w:t>
      </w:r>
    </w:p>
    <w:p w14:paraId="0DA2410A" w14:textId="08994674" w:rsidR="00E779D1" w:rsidRPr="00E779D1" w:rsidRDefault="00E779D1" w:rsidP="00E779D1">
      <w:pPr>
        <w:numPr>
          <w:ilvl w:val="0"/>
          <w:numId w:val="18"/>
        </w:numPr>
      </w:pPr>
      <w:r w:rsidRPr="00E779D1">
        <w:t>Monitor collaboration tools for unauthorized file downloads or unusual activity.</w:t>
      </w:r>
    </w:p>
    <w:p w14:paraId="63A6BCEC" w14:textId="7001B4B5" w:rsidR="00DB684D" w:rsidRDefault="00186EAE" w:rsidP="00EC1B1E">
      <w:pPr>
        <w:pStyle w:val="Heading1"/>
      </w:pPr>
      <w:bookmarkStart w:id="11" w:name="_Toc182579090"/>
      <w:r w:rsidRPr="00186EAE">
        <w:t>Monitoring and Review</w:t>
      </w:r>
      <w:bookmarkEnd w:id="11"/>
    </w:p>
    <w:p w14:paraId="39B5D808" w14:textId="6064926C" w:rsidR="00EC1B1E" w:rsidRPr="00EC1B1E" w:rsidRDefault="00EC1B1E" w:rsidP="00EC1B1E">
      <w:pPr>
        <w:pStyle w:val="Heading2"/>
      </w:pPr>
      <w:bookmarkStart w:id="12" w:name="_Toc182579091"/>
      <w:r w:rsidRPr="00EC1B1E">
        <w:t>Frequency</w:t>
      </w:r>
      <w:bookmarkEnd w:id="12"/>
    </w:p>
    <w:p w14:paraId="102D72EA" w14:textId="0AA7AD1E" w:rsidR="00EC1B1E" w:rsidRPr="00EC1B1E" w:rsidRDefault="00EC1B1E" w:rsidP="00EC1B1E">
      <w:pPr>
        <w:pStyle w:val="Heading3"/>
      </w:pPr>
      <w:bookmarkStart w:id="13" w:name="_Toc182579092"/>
      <w:r w:rsidRPr="00EC1B1E">
        <w:t>Daily</w:t>
      </w:r>
      <w:bookmarkEnd w:id="13"/>
    </w:p>
    <w:p w14:paraId="3A9E43D7" w14:textId="77777777" w:rsidR="00EC1B1E" w:rsidRPr="00EC1B1E" w:rsidRDefault="00EC1B1E" w:rsidP="00EC1B1E">
      <w:pPr>
        <w:pStyle w:val="ListParagraph"/>
        <w:numPr>
          <w:ilvl w:val="0"/>
          <w:numId w:val="19"/>
        </w:numPr>
      </w:pPr>
      <w:r w:rsidRPr="00EC1B1E">
        <w:t xml:space="preserve">Monitor </w:t>
      </w:r>
      <w:r w:rsidRPr="00EC1B1E">
        <w:rPr>
          <w:b/>
          <w:bCs/>
        </w:rPr>
        <w:t>access logs</w:t>
      </w:r>
      <w:r w:rsidRPr="00EC1B1E">
        <w:t xml:space="preserve"> for sensitive data repositories (e.g., databases, file servers) to detect unauthorized or unusual access attempts.</w:t>
      </w:r>
    </w:p>
    <w:p w14:paraId="649D57DC" w14:textId="77777777" w:rsidR="00EC1B1E" w:rsidRPr="00EC1B1E" w:rsidRDefault="00EC1B1E" w:rsidP="00EC1B1E">
      <w:pPr>
        <w:pStyle w:val="ListParagraph"/>
        <w:numPr>
          <w:ilvl w:val="0"/>
          <w:numId w:val="19"/>
        </w:numPr>
      </w:pPr>
      <w:r w:rsidRPr="00EC1B1E">
        <w:t xml:space="preserve">Review </w:t>
      </w:r>
      <w:r w:rsidRPr="00EC1B1E">
        <w:rPr>
          <w:b/>
          <w:bCs/>
        </w:rPr>
        <w:t>data encryption tools</w:t>
      </w:r>
      <w:r w:rsidRPr="00EC1B1E">
        <w:t xml:space="preserve"> to ensure they are functioning correctly during data transfers.</w:t>
      </w:r>
    </w:p>
    <w:p w14:paraId="03407B14" w14:textId="77777777" w:rsidR="00EC1B1E" w:rsidRPr="00EC1B1E" w:rsidRDefault="00EC1B1E" w:rsidP="00EC1B1E">
      <w:pPr>
        <w:pStyle w:val="ListParagraph"/>
        <w:numPr>
          <w:ilvl w:val="0"/>
          <w:numId w:val="19"/>
        </w:numPr>
      </w:pPr>
      <w:r w:rsidRPr="00EC1B1E">
        <w:lastRenderedPageBreak/>
        <w:t xml:space="preserve">Validate alerts from </w:t>
      </w:r>
      <w:r w:rsidRPr="00EC1B1E">
        <w:rPr>
          <w:b/>
          <w:bCs/>
        </w:rPr>
        <w:t>Data Loss Prevention (DLP)</w:t>
      </w:r>
      <w:r w:rsidRPr="00EC1B1E">
        <w:t xml:space="preserve"> tools for potential data exfiltration or unauthorized sharing.</w:t>
      </w:r>
    </w:p>
    <w:p w14:paraId="5BBE4DCF" w14:textId="0F0B3994" w:rsidR="00EC1B1E" w:rsidRPr="00EC1B1E" w:rsidRDefault="00EC1B1E" w:rsidP="00EC1B1E">
      <w:pPr>
        <w:pStyle w:val="Heading3"/>
      </w:pPr>
      <w:bookmarkStart w:id="14" w:name="_Toc182579093"/>
      <w:r w:rsidRPr="00EC1B1E">
        <w:t>Monthly</w:t>
      </w:r>
      <w:bookmarkEnd w:id="14"/>
    </w:p>
    <w:p w14:paraId="2EBBEA1A" w14:textId="77777777" w:rsidR="00EC1B1E" w:rsidRPr="00EC1B1E" w:rsidRDefault="00EC1B1E" w:rsidP="00EC1B1E">
      <w:pPr>
        <w:pStyle w:val="ListParagraph"/>
        <w:numPr>
          <w:ilvl w:val="0"/>
          <w:numId w:val="22"/>
        </w:numPr>
      </w:pPr>
      <w:r w:rsidRPr="00EC1B1E">
        <w:t>Audit permissions for sensitive data access, ensuring compliance with role-based access control (RBAC) policies.</w:t>
      </w:r>
    </w:p>
    <w:p w14:paraId="7A10A123" w14:textId="77777777" w:rsidR="00EC1B1E" w:rsidRPr="00EC1B1E" w:rsidRDefault="00EC1B1E" w:rsidP="00EC1B1E">
      <w:pPr>
        <w:pStyle w:val="ListParagraph"/>
        <w:numPr>
          <w:ilvl w:val="0"/>
          <w:numId w:val="22"/>
        </w:numPr>
      </w:pPr>
      <w:r w:rsidRPr="00EC1B1E">
        <w:t>Review logs of employee activities involving data creation, modification, or deletion to detect patterns of negligence or misuse.</w:t>
      </w:r>
    </w:p>
    <w:p w14:paraId="6B02B6AB" w14:textId="77777777" w:rsidR="00EC1B1E" w:rsidRPr="00EC1B1E" w:rsidRDefault="00EC1B1E" w:rsidP="00EC1B1E">
      <w:pPr>
        <w:pStyle w:val="ListParagraph"/>
        <w:numPr>
          <w:ilvl w:val="0"/>
          <w:numId w:val="22"/>
        </w:numPr>
      </w:pPr>
      <w:r w:rsidRPr="00EC1B1E">
        <w:t xml:space="preserve">Evaluate </w:t>
      </w:r>
      <w:r w:rsidRPr="00EC1B1E">
        <w:rPr>
          <w:b/>
          <w:bCs/>
        </w:rPr>
        <w:t>encryption protocols</w:t>
      </w:r>
      <w:r w:rsidRPr="00EC1B1E">
        <w:t xml:space="preserve"> to ensure they meet industry standards and remain effective against new threats.</w:t>
      </w:r>
    </w:p>
    <w:p w14:paraId="6226C12B" w14:textId="7B902852" w:rsidR="00EC1B1E" w:rsidRPr="00EC1B1E" w:rsidRDefault="00EC1B1E" w:rsidP="00EC1B1E">
      <w:pPr>
        <w:pStyle w:val="Heading3"/>
      </w:pPr>
      <w:bookmarkStart w:id="15" w:name="_Toc182579094"/>
      <w:r w:rsidRPr="00EC1B1E">
        <w:t>Quarterly</w:t>
      </w:r>
      <w:bookmarkEnd w:id="15"/>
    </w:p>
    <w:p w14:paraId="03CD82FD" w14:textId="77777777" w:rsidR="00EC1B1E" w:rsidRPr="00EC1B1E" w:rsidRDefault="00EC1B1E" w:rsidP="00EC1B1E">
      <w:pPr>
        <w:pStyle w:val="ListParagraph"/>
        <w:numPr>
          <w:ilvl w:val="0"/>
          <w:numId w:val="23"/>
        </w:numPr>
      </w:pPr>
      <w:r w:rsidRPr="00EC1B1E">
        <w:t xml:space="preserve">Conduct </w:t>
      </w:r>
      <w:r w:rsidRPr="00EC1B1E">
        <w:rPr>
          <w:b/>
          <w:bCs/>
        </w:rPr>
        <w:t>data access audits</w:t>
      </w:r>
      <w:r w:rsidRPr="00EC1B1E">
        <w:t xml:space="preserve"> for all critical systems to confirm permissions are up to date and aligned with policy.</w:t>
      </w:r>
    </w:p>
    <w:p w14:paraId="7E26DAC1" w14:textId="77777777" w:rsidR="00EC1B1E" w:rsidRPr="00EC1B1E" w:rsidRDefault="00EC1B1E" w:rsidP="00EC1B1E">
      <w:pPr>
        <w:pStyle w:val="ListParagraph"/>
        <w:numPr>
          <w:ilvl w:val="0"/>
          <w:numId w:val="23"/>
        </w:numPr>
      </w:pPr>
      <w:r w:rsidRPr="00EC1B1E">
        <w:t>Review reports from DLP systems for trends or recurring issues, such as frequent access violations.</w:t>
      </w:r>
    </w:p>
    <w:p w14:paraId="33A31CD1" w14:textId="77777777" w:rsidR="00EC1B1E" w:rsidRPr="00EC1B1E" w:rsidRDefault="00EC1B1E" w:rsidP="00EC1B1E">
      <w:pPr>
        <w:pStyle w:val="ListParagraph"/>
        <w:numPr>
          <w:ilvl w:val="0"/>
          <w:numId w:val="23"/>
        </w:numPr>
      </w:pPr>
      <w:r w:rsidRPr="00EC1B1E">
        <w:t>Test backup data for integrity and confirm that it is encrypted and recoverable without errors.</w:t>
      </w:r>
    </w:p>
    <w:p w14:paraId="13955DC3" w14:textId="6467D4C3" w:rsidR="00EC1B1E" w:rsidRPr="00EC1B1E" w:rsidRDefault="00EC1B1E" w:rsidP="00EC1B1E">
      <w:pPr>
        <w:pStyle w:val="Heading3"/>
      </w:pPr>
      <w:bookmarkStart w:id="16" w:name="_Toc182579095"/>
      <w:r w:rsidRPr="00EC1B1E">
        <w:t>Bi-Annually</w:t>
      </w:r>
      <w:bookmarkEnd w:id="16"/>
    </w:p>
    <w:p w14:paraId="643AC187" w14:textId="77777777" w:rsidR="00EC1B1E" w:rsidRPr="00EC1B1E" w:rsidRDefault="00EC1B1E" w:rsidP="00EC1B1E">
      <w:pPr>
        <w:numPr>
          <w:ilvl w:val="1"/>
          <w:numId w:val="19"/>
        </w:numPr>
      </w:pPr>
      <w:r w:rsidRPr="00EC1B1E">
        <w:t xml:space="preserve">Perform </w:t>
      </w:r>
      <w:r w:rsidRPr="00EC1B1E">
        <w:rPr>
          <w:b/>
          <w:bCs/>
        </w:rPr>
        <w:t>tabletop exercises</w:t>
      </w:r>
      <w:r w:rsidRPr="00EC1B1E">
        <w:t xml:space="preserve"> simulating data breach scenarios to evaluate the organization’s response to data exposure incidents.</w:t>
      </w:r>
    </w:p>
    <w:p w14:paraId="3D1F4105" w14:textId="77777777" w:rsidR="00EC1B1E" w:rsidRPr="00EC1B1E" w:rsidRDefault="00EC1B1E" w:rsidP="00EC1B1E">
      <w:pPr>
        <w:numPr>
          <w:ilvl w:val="1"/>
          <w:numId w:val="19"/>
        </w:numPr>
      </w:pPr>
      <w:r w:rsidRPr="00EC1B1E">
        <w:t>Evaluate the effectiveness of data privacy controls, such as encryption, DLP, and logging mechanisms.</w:t>
      </w:r>
    </w:p>
    <w:p w14:paraId="730E22A6" w14:textId="77777777" w:rsidR="00EC1B1E" w:rsidRPr="00EC1B1E" w:rsidRDefault="00EC1B1E" w:rsidP="00EC1B1E">
      <w:pPr>
        <w:numPr>
          <w:ilvl w:val="1"/>
          <w:numId w:val="19"/>
        </w:numPr>
      </w:pPr>
      <w:r w:rsidRPr="00EC1B1E">
        <w:t xml:space="preserve">Conduct </w:t>
      </w:r>
      <w:r w:rsidRPr="00EC1B1E">
        <w:rPr>
          <w:b/>
          <w:bCs/>
        </w:rPr>
        <w:t>vendor compliance reviews</w:t>
      </w:r>
      <w:r w:rsidRPr="00EC1B1E">
        <w:t>, focusing on data privacy agreements and secure handling of shared data.</w:t>
      </w:r>
    </w:p>
    <w:p w14:paraId="00541F3D" w14:textId="5DA41670" w:rsidR="00EC1B1E" w:rsidRPr="00EC1B1E" w:rsidRDefault="00EC1B1E" w:rsidP="00EC1B1E">
      <w:pPr>
        <w:pStyle w:val="Heading3"/>
      </w:pPr>
      <w:bookmarkStart w:id="17" w:name="_Toc182579096"/>
      <w:r w:rsidRPr="00EC1B1E">
        <w:t>Annually</w:t>
      </w:r>
      <w:bookmarkEnd w:id="17"/>
    </w:p>
    <w:p w14:paraId="363F0E0D" w14:textId="77777777" w:rsidR="00EC1B1E" w:rsidRPr="00EC1B1E" w:rsidRDefault="00EC1B1E" w:rsidP="00EC1B1E">
      <w:pPr>
        <w:pStyle w:val="ListParagraph"/>
        <w:numPr>
          <w:ilvl w:val="0"/>
          <w:numId w:val="24"/>
        </w:numPr>
      </w:pPr>
      <w:r w:rsidRPr="00EC1B1E">
        <w:t>Reassess data privacy risks in light of new regulations (e.g., GDPR, CCPA) and evolving organizational data usage.</w:t>
      </w:r>
    </w:p>
    <w:p w14:paraId="2C0AC69E" w14:textId="77777777" w:rsidR="00EC1B1E" w:rsidRPr="00EC1B1E" w:rsidRDefault="00EC1B1E" w:rsidP="00EC1B1E">
      <w:pPr>
        <w:pStyle w:val="ListParagraph"/>
        <w:numPr>
          <w:ilvl w:val="0"/>
          <w:numId w:val="24"/>
        </w:numPr>
      </w:pPr>
      <w:r w:rsidRPr="00EC1B1E">
        <w:t>Update data privacy policies and employee training materials to reflect lessons learned from audits, simulations, and incidents.</w:t>
      </w:r>
    </w:p>
    <w:p w14:paraId="34725E9C" w14:textId="77777777" w:rsidR="00EC1B1E" w:rsidRPr="00EC1B1E" w:rsidRDefault="00EC1B1E" w:rsidP="00EC1B1E">
      <w:pPr>
        <w:pStyle w:val="ListParagraph"/>
        <w:numPr>
          <w:ilvl w:val="0"/>
          <w:numId w:val="24"/>
        </w:numPr>
      </w:pPr>
      <w:r w:rsidRPr="00EC1B1E">
        <w:t xml:space="preserve">Conduct an organization-wide </w:t>
      </w:r>
      <w:r w:rsidRPr="00EC1B1E">
        <w:rPr>
          <w:b/>
          <w:bCs/>
        </w:rPr>
        <w:t>data privacy awareness campaign</w:t>
      </w:r>
      <w:r w:rsidRPr="00EC1B1E">
        <w:t xml:space="preserve"> to reinforce best practices for handling sensitive information.</w:t>
      </w:r>
    </w:p>
    <w:p w14:paraId="22A45DE4" w14:textId="0126E0D1" w:rsidR="00EC1B1E" w:rsidRPr="00EC1B1E" w:rsidRDefault="00EC1B1E" w:rsidP="00EC1B1E">
      <w:pPr>
        <w:pStyle w:val="Heading2"/>
      </w:pPr>
      <w:bookmarkStart w:id="18" w:name="_Toc182579097"/>
      <w:r w:rsidRPr="00EC1B1E">
        <w:lastRenderedPageBreak/>
        <w:t>Incident Response</w:t>
      </w:r>
      <w:bookmarkEnd w:id="18"/>
    </w:p>
    <w:p w14:paraId="16B2B7CA" w14:textId="77777777" w:rsidR="00EC1B1E" w:rsidRPr="00EC1B1E" w:rsidRDefault="00EC1B1E" w:rsidP="00EC1B1E">
      <w:pPr>
        <w:pStyle w:val="ListParagraph"/>
        <w:numPr>
          <w:ilvl w:val="0"/>
          <w:numId w:val="25"/>
        </w:numPr>
      </w:pPr>
      <w:r w:rsidRPr="00EC1B1E">
        <w:t xml:space="preserve">Maintain a dedicated </w:t>
      </w:r>
      <w:r w:rsidRPr="00EC1B1E">
        <w:rPr>
          <w:b/>
          <w:bCs/>
        </w:rPr>
        <w:t>Data Privacy Response Team (DPRT)</w:t>
      </w:r>
      <w:r w:rsidRPr="00EC1B1E">
        <w:t xml:space="preserve"> to address and resolve data breach incidents effectively.</w:t>
      </w:r>
    </w:p>
    <w:p w14:paraId="6141908E" w14:textId="77777777" w:rsidR="00EC1B1E" w:rsidRPr="00EC1B1E" w:rsidRDefault="00EC1B1E" w:rsidP="00EC1B1E">
      <w:pPr>
        <w:pStyle w:val="ListParagraph"/>
        <w:numPr>
          <w:ilvl w:val="0"/>
          <w:numId w:val="25"/>
        </w:numPr>
      </w:pPr>
      <w:r w:rsidRPr="00EC1B1E">
        <w:t xml:space="preserve">Conduct </w:t>
      </w:r>
      <w:r w:rsidRPr="00EC1B1E">
        <w:rPr>
          <w:b/>
          <w:bCs/>
        </w:rPr>
        <w:t>bi-annual breach simulation drills</w:t>
      </w:r>
      <w:r w:rsidRPr="00EC1B1E">
        <w:t xml:space="preserve"> to improve readiness and refine escalation workflows.</w:t>
      </w:r>
    </w:p>
    <w:p w14:paraId="2B537F10" w14:textId="77777777" w:rsidR="00EC1B1E" w:rsidRPr="00EC1B1E" w:rsidRDefault="00EC1B1E" w:rsidP="00EC1B1E">
      <w:pPr>
        <w:pStyle w:val="ListParagraph"/>
        <w:numPr>
          <w:ilvl w:val="0"/>
          <w:numId w:val="25"/>
        </w:numPr>
      </w:pPr>
      <w:r w:rsidRPr="00EC1B1E">
        <w:t>Document all data privacy incidents, including affected systems, type of breach, and remediation actions taken, for compliance and improvement purposes.</w:t>
      </w:r>
    </w:p>
    <w:p w14:paraId="3D3E5CBC" w14:textId="0E01B638" w:rsidR="00EC1B1E" w:rsidRPr="00EC1B1E" w:rsidRDefault="00EC1B1E" w:rsidP="00EC1B1E">
      <w:pPr>
        <w:pStyle w:val="Heading2"/>
      </w:pPr>
      <w:bookmarkStart w:id="19" w:name="_Toc182579098"/>
      <w:r w:rsidRPr="00EC1B1E">
        <w:t>Documentation and Compliance</w:t>
      </w:r>
      <w:bookmarkEnd w:id="19"/>
    </w:p>
    <w:p w14:paraId="1C785C8F" w14:textId="77777777" w:rsidR="00EC1B1E" w:rsidRPr="00EC1B1E" w:rsidRDefault="00EC1B1E" w:rsidP="00EC1B1E">
      <w:pPr>
        <w:pStyle w:val="ListParagraph"/>
        <w:numPr>
          <w:ilvl w:val="0"/>
          <w:numId w:val="26"/>
        </w:numPr>
      </w:pPr>
      <w:r w:rsidRPr="00EC1B1E">
        <w:t>Maintain detailed logs of data access, sharing, and modification activities to ensure accountability and traceability.</w:t>
      </w:r>
    </w:p>
    <w:p w14:paraId="50839FA2" w14:textId="77777777" w:rsidR="00EC1B1E" w:rsidRPr="00EC1B1E" w:rsidRDefault="00EC1B1E" w:rsidP="00EC1B1E">
      <w:pPr>
        <w:pStyle w:val="ListParagraph"/>
        <w:numPr>
          <w:ilvl w:val="0"/>
          <w:numId w:val="26"/>
        </w:numPr>
      </w:pPr>
      <w:r w:rsidRPr="00EC1B1E">
        <w:t>Document updates to encryption, DLP, and access control systems to demonstrate continuous improvement.</w:t>
      </w:r>
    </w:p>
    <w:p w14:paraId="648FE0D7" w14:textId="77777777" w:rsidR="00EC1B1E" w:rsidRPr="00EC1B1E" w:rsidRDefault="00EC1B1E" w:rsidP="00EC1B1E">
      <w:pPr>
        <w:pStyle w:val="ListParagraph"/>
        <w:numPr>
          <w:ilvl w:val="0"/>
          <w:numId w:val="26"/>
        </w:numPr>
      </w:pPr>
      <w:r w:rsidRPr="00EC1B1E">
        <w:t>Ensure compliance with applicable data privacy regulations and standards, including:</w:t>
      </w:r>
    </w:p>
    <w:p w14:paraId="7EB193E2" w14:textId="77777777" w:rsidR="00EC1B1E" w:rsidRPr="00EC1B1E" w:rsidRDefault="00EC1B1E" w:rsidP="00EC1B1E">
      <w:pPr>
        <w:pStyle w:val="ListParagraph"/>
        <w:numPr>
          <w:ilvl w:val="1"/>
          <w:numId w:val="26"/>
        </w:numPr>
      </w:pPr>
      <w:r w:rsidRPr="00EC1B1E">
        <w:rPr>
          <w:b/>
          <w:bCs/>
        </w:rPr>
        <w:t>NIST SP 800-53</w:t>
      </w:r>
      <w:r w:rsidRPr="00EC1B1E">
        <w:t>: AC-3 (Access Enforcement), SI-12 (Data Integrity), and SC-12 (Cryptographic Protections).</w:t>
      </w:r>
    </w:p>
    <w:p w14:paraId="7D8347FF" w14:textId="77777777" w:rsidR="00EC1B1E" w:rsidRPr="00EC1B1E" w:rsidRDefault="00EC1B1E" w:rsidP="00EC1B1E">
      <w:pPr>
        <w:pStyle w:val="ListParagraph"/>
        <w:numPr>
          <w:ilvl w:val="1"/>
          <w:numId w:val="26"/>
        </w:numPr>
      </w:pPr>
      <w:r w:rsidRPr="00EC1B1E">
        <w:t>GDPR, CCPA, HIPAA, and ISO 27001 for privacy and data protection requirements.</w:t>
      </w:r>
    </w:p>
    <w:p w14:paraId="31E6E807" w14:textId="77777777" w:rsidR="00EC1B1E" w:rsidRPr="00EC1B1E" w:rsidRDefault="00EC1B1E" w:rsidP="00EC1B1E"/>
    <w:sectPr w:rsidR="00EC1B1E" w:rsidRPr="00EC1B1E" w:rsidSect="00186EAE">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072C86" w14:textId="77777777" w:rsidR="00B8365A" w:rsidRDefault="00B8365A" w:rsidP="00054B24">
      <w:pPr>
        <w:spacing w:after="0" w:line="240" w:lineRule="auto"/>
      </w:pPr>
      <w:r>
        <w:separator/>
      </w:r>
    </w:p>
  </w:endnote>
  <w:endnote w:type="continuationSeparator" w:id="0">
    <w:p w14:paraId="1600FA08" w14:textId="77777777" w:rsidR="00B8365A" w:rsidRDefault="00B8365A" w:rsidP="00054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0CDB30" w14:textId="77777777" w:rsidR="00054B24" w:rsidRDefault="00054B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4930686"/>
      <w:docPartObj>
        <w:docPartGallery w:val="Page Numbers (Bottom of Page)"/>
        <w:docPartUnique/>
      </w:docPartObj>
    </w:sdtPr>
    <w:sdtEndPr>
      <w:rPr>
        <w:noProof/>
      </w:rPr>
    </w:sdtEndPr>
    <w:sdtContent>
      <w:p w14:paraId="58700113" w14:textId="033AB088" w:rsidR="00054B24" w:rsidRDefault="00054B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B1BF84" w14:textId="77777777" w:rsidR="00054B24" w:rsidRDefault="00054B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FBA07" w14:textId="77777777" w:rsidR="00054B24" w:rsidRDefault="00054B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DF6BB8" w14:textId="77777777" w:rsidR="00B8365A" w:rsidRDefault="00B8365A" w:rsidP="00054B24">
      <w:pPr>
        <w:spacing w:after="0" w:line="240" w:lineRule="auto"/>
      </w:pPr>
      <w:r>
        <w:separator/>
      </w:r>
    </w:p>
  </w:footnote>
  <w:footnote w:type="continuationSeparator" w:id="0">
    <w:p w14:paraId="6666E3C3" w14:textId="77777777" w:rsidR="00B8365A" w:rsidRDefault="00B8365A" w:rsidP="00054B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5D458" w14:textId="77777777" w:rsidR="00054B24" w:rsidRDefault="00054B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E0A27E" w14:textId="77777777" w:rsidR="00054B24" w:rsidRDefault="00054B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F7159" w14:textId="77777777" w:rsidR="00054B24" w:rsidRDefault="00054B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810"/>
    <w:multiLevelType w:val="multilevel"/>
    <w:tmpl w:val="53BA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73E17"/>
    <w:multiLevelType w:val="multilevel"/>
    <w:tmpl w:val="95E4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65975"/>
    <w:multiLevelType w:val="multilevel"/>
    <w:tmpl w:val="F02E9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9F16AE"/>
    <w:multiLevelType w:val="multilevel"/>
    <w:tmpl w:val="F02E9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B751C"/>
    <w:multiLevelType w:val="multilevel"/>
    <w:tmpl w:val="F3C679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3F34DF7"/>
    <w:multiLevelType w:val="multilevel"/>
    <w:tmpl w:val="9356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65BDD"/>
    <w:multiLevelType w:val="hybridMultilevel"/>
    <w:tmpl w:val="10526A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72C7B1D"/>
    <w:multiLevelType w:val="multilevel"/>
    <w:tmpl w:val="9690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35CED"/>
    <w:multiLevelType w:val="multilevel"/>
    <w:tmpl w:val="939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D6922"/>
    <w:multiLevelType w:val="multilevel"/>
    <w:tmpl w:val="FD289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A5DC6"/>
    <w:multiLevelType w:val="multilevel"/>
    <w:tmpl w:val="F02E9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C6B8C"/>
    <w:multiLevelType w:val="multilevel"/>
    <w:tmpl w:val="5088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B773B"/>
    <w:multiLevelType w:val="hybridMultilevel"/>
    <w:tmpl w:val="E0C6A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BD7E84"/>
    <w:multiLevelType w:val="multilevel"/>
    <w:tmpl w:val="D8FA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E66C2"/>
    <w:multiLevelType w:val="multilevel"/>
    <w:tmpl w:val="F02E9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D67817"/>
    <w:multiLevelType w:val="multilevel"/>
    <w:tmpl w:val="D04E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5419C8"/>
    <w:multiLevelType w:val="multilevel"/>
    <w:tmpl w:val="F02E9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A7818"/>
    <w:multiLevelType w:val="multilevel"/>
    <w:tmpl w:val="23C475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B56463"/>
    <w:multiLevelType w:val="multilevel"/>
    <w:tmpl w:val="F02E9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39637F"/>
    <w:multiLevelType w:val="hybridMultilevel"/>
    <w:tmpl w:val="8FA88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516672C"/>
    <w:multiLevelType w:val="hybridMultilevel"/>
    <w:tmpl w:val="B1967B3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9D74E79"/>
    <w:multiLevelType w:val="hybridMultilevel"/>
    <w:tmpl w:val="86807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E361521"/>
    <w:multiLevelType w:val="multilevel"/>
    <w:tmpl w:val="98A0B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B22DF"/>
    <w:multiLevelType w:val="hybridMultilevel"/>
    <w:tmpl w:val="FA54F8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9DE0ED5"/>
    <w:multiLevelType w:val="multilevel"/>
    <w:tmpl w:val="8A0A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A64107"/>
    <w:multiLevelType w:val="multilevel"/>
    <w:tmpl w:val="BFDE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5747814">
    <w:abstractNumId w:val="17"/>
  </w:num>
  <w:num w:numId="2" w16cid:durableId="277763098">
    <w:abstractNumId w:val="12"/>
  </w:num>
  <w:num w:numId="3" w16cid:durableId="1094589550">
    <w:abstractNumId w:val="20"/>
  </w:num>
  <w:num w:numId="4" w16cid:durableId="1782913047">
    <w:abstractNumId w:val="19"/>
  </w:num>
  <w:num w:numId="5" w16cid:durableId="1126042938">
    <w:abstractNumId w:val="6"/>
  </w:num>
  <w:num w:numId="6" w16cid:durableId="2008290851">
    <w:abstractNumId w:val="11"/>
  </w:num>
  <w:num w:numId="7" w16cid:durableId="2026665362">
    <w:abstractNumId w:val="24"/>
  </w:num>
  <w:num w:numId="8" w16cid:durableId="1404836635">
    <w:abstractNumId w:val="9"/>
  </w:num>
  <w:num w:numId="9" w16cid:durableId="148137547">
    <w:abstractNumId w:val="5"/>
  </w:num>
  <w:num w:numId="10" w16cid:durableId="1851066055">
    <w:abstractNumId w:val="1"/>
  </w:num>
  <w:num w:numId="11" w16cid:durableId="231475394">
    <w:abstractNumId w:val="15"/>
  </w:num>
  <w:num w:numId="12" w16cid:durableId="845828224">
    <w:abstractNumId w:val="23"/>
  </w:num>
  <w:num w:numId="13" w16cid:durableId="1453742504">
    <w:abstractNumId w:val="21"/>
  </w:num>
  <w:num w:numId="14" w16cid:durableId="2054499338">
    <w:abstractNumId w:val="4"/>
  </w:num>
  <w:num w:numId="15" w16cid:durableId="82460897">
    <w:abstractNumId w:val="13"/>
  </w:num>
  <w:num w:numId="16" w16cid:durableId="375351957">
    <w:abstractNumId w:val="7"/>
  </w:num>
  <w:num w:numId="17" w16cid:durableId="1294363297">
    <w:abstractNumId w:val="8"/>
  </w:num>
  <w:num w:numId="18" w16cid:durableId="433478345">
    <w:abstractNumId w:val="25"/>
  </w:num>
  <w:num w:numId="19" w16cid:durableId="1228372439">
    <w:abstractNumId w:val="14"/>
  </w:num>
  <w:num w:numId="20" w16cid:durableId="1328510202">
    <w:abstractNumId w:val="0"/>
  </w:num>
  <w:num w:numId="21" w16cid:durableId="334453916">
    <w:abstractNumId w:val="22"/>
  </w:num>
  <w:num w:numId="22" w16cid:durableId="570192558">
    <w:abstractNumId w:val="18"/>
  </w:num>
  <w:num w:numId="23" w16cid:durableId="370114222">
    <w:abstractNumId w:val="10"/>
  </w:num>
  <w:num w:numId="24" w16cid:durableId="1756239923">
    <w:abstractNumId w:val="2"/>
  </w:num>
  <w:num w:numId="25" w16cid:durableId="1141388299">
    <w:abstractNumId w:val="16"/>
  </w:num>
  <w:num w:numId="26" w16cid:durableId="1030761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AE"/>
    <w:rsid w:val="00035272"/>
    <w:rsid w:val="00054B24"/>
    <w:rsid w:val="00056109"/>
    <w:rsid w:val="0009326F"/>
    <w:rsid w:val="001539FA"/>
    <w:rsid w:val="00186EAE"/>
    <w:rsid w:val="001E7AE2"/>
    <w:rsid w:val="002247EF"/>
    <w:rsid w:val="002B6A97"/>
    <w:rsid w:val="003662F2"/>
    <w:rsid w:val="00375403"/>
    <w:rsid w:val="00400CB6"/>
    <w:rsid w:val="00420487"/>
    <w:rsid w:val="00445D24"/>
    <w:rsid w:val="00574111"/>
    <w:rsid w:val="00577352"/>
    <w:rsid w:val="005F3D5A"/>
    <w:rsid w:val="00644920"/>
    <w:rsid w:val="006A3537"/>
    <w:rsid w:val="00762573"/>
    <w:rsid w:val="0084014D"/>
    <w:rsid w:val="00847962"/>
    <w:rsid w:val="008B419B"/>
    <w:rsid w:val="0094670D"/>
    <w:rsid w:val="00973E7F"/>
    <w:rsid w:val="009A0740"/>
    <w:rsid w:val="009C1C06"/>
    <w:rsid w:val="009C7D06"/>
    <w:rsid w:val="009D6E38"/>
    <w:rsid w:val="009E6CA2"/>
    <w:rsid w:val="009F3B3F"/>
    <w:rsid w:val="00A368D6"/>
    <w:rsid w:val="00AC0A86"/>
    <w:rsid w:val="00AF3770"/>
    <w:rsid w:val="00B16E1E"/>
    <w:rsid w:val="00B8365A"/>
    <w:rsid w:val="00C908BE"/>
    <w:rsid w:val="00C96F4E"/>
    <w:rsid w:val="00D5677A"/>
    <w:rsid w:val="00DB684D"/>
    <w:rsid w:val="00DF0AE9"/>
    <w:rsid w:val="00DF7A5C"/>
    <w:rsid w:val="00E779D1"/>
    <w:rsid w:val="00EC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5DB9"/>
  <w15:chartTrackingRefBased/>
  <w15:docId w15:val="{2AE1341F-F09C-4493-A084-48E775DAB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6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6E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E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E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E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E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E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E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E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6E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6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E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E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E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E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E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EAE"/>
    <w:rPr>
      <w:rFonts w:eastAsiaTheme="majorEastAsia" w:cstheme="majorBidi"/>
      <w:color w:val="272727" w:themeColor="text1" w:themeTint="D8"/>
    </w:rPr>
  </w:style>
  <w:style w:type="paragraph" w:styleId="Title">
    <w:name w:val="Title"/>
    <w:basedOn w:val="Normal"/>
    <w:next w:val="Normal"/>
    <w:link w:val="TitleChar"/>
    <w:uiPriority w:val="10"/>
    <w:qFormat/>
    <w:rsid w:val="00186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E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E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E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EAE"/>
    <w:pPr>
      <w:spacing w:before="160"/>
      <w:jc w:val="center"/>
    </w:pPr>
    <w:rPr>
      <w:i/>
      <w:iCs/>
      <w:color w:val="404040" w:themeColor="text1" w:themeTint="BF"/>
    </w:rPr>
  </w:style>
  <w:style w:type="character" w:customStyle="1" w:styleId="QuoteChar">
    <w:name w:val="Quote Char"/>
    <w:basedOn w:val="DefaultParagraphFont"/>
    <w:link w:val="Quote"/>
    <w:uiPriority w:val="29"/>
    <w:rsid w:val="00186EAE"/>
    <w:rPr>
      <w:i/>
      <w:iCs/>
      <w:color w:val="404040" w:themeColor="text1" w:themeTint="BF"/>
    </w:rPr>
  </w:style>
  <w:style w:type="paragraph" w:styleId="ListParagraph">
    <w:name w:val="List Paragraph"/>
    <w:basedOn w:val="Normal"/>
    <w:uiPriority w:val="34"/>
    <w:qFormat/>
    <w:rsid w:val="00186EAE"/>
    <w:pPr>
      <w:ind w:left="720"/>
      <w:contextualSpacing/>
    </w:pPr>
  </w:style>
  <w:style w:type="character" w:styleId="IntenseEmphasis">
    <w:name w:val="Intense Emphasis"/>
    <w:basedOn w:val="DefaultParagraphFont"/>
    <w:uiPriority w:val="21"/>
    <w:qFormat/>
    <w:rsid w:val="00186EAE"/>
    <w:rPr>
      <w:i/>
      <w:iCs/>
      <w:color w:val="0F4761" w:themeColor="accent1" w:themeShade="BF"/>
    </w:rPr>
  </w:style>
  <w:style w:type="paragraph" w:styleId="IntenseQuote">
    <w:name w:val="Intense Quote"/>
    <w:basedOn w:val="Normal"/>
    <w:next w:val="Normal"/>
    <w:link w:val="IntenseQuoteChar"/>
    <w:uiPriority w:val="30"/>
    <w:qFormat/>
    <w:rsid w:val="00186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EAE"/>
    <w:rPr>
      <w:i/>
      <w:iCs/>
      <w:color w:val="0F4761" w:themeColor="accent1" w:themeShade="BF"/>
    </w:rPr>
  </w:style>
  <w:style w:type="character" w:styleId="IntenseReference">
    <w:name w:val="Intense Reference"/>
    <w:basedOn w:val="DefaultParagraphFont"/>
    <w:uiPriority w:val="32"/>
    <w:qFormat/>
    <w:rsid w:val="00186EAE"/>
    <w:rPr>
      <w:b/>
      <w:bCs/>
      <w:smallCaps/>
      <w:color w:val="0F4761" w:themeColor="accent1" w:themeShade="BF"/>
      <w:spacing w:val="5"/>
    </w:rPr>
  </w:style>
  <w:style w:type="paragraph" w:styleId="NoSpacing">
    <w:name w:val="No Spacing"/>
    <w:link w:val="NoSpacingChar"/>
    <w:uiPriority w:val="1"/>
    <w:qFormat/>
    <w:rsid w:val="00186EAE"/>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86EAE"/>
    <w:rPr>
      <w:rFonts w:eastAsiaTheme="minorEastAsia"/>
      <w:kern w:val="0"/>
      <w:sz w:val="22"/>
      <w:szCs w:val="22"/>
      <w14:ligatures w14:val="none"/>
    </w:rPr>
  </w:style>
  <w:style w:type="paragraph" w:styleId="TOCHeading">
    <w:name w:val="TOC Heading"/>
    <w:basedOn w:val="Heading1"/>
    <w:next w:val="Normal"/>
    <w:uiPriority w:val="39"/>
    <w:unhideWhenUsed/>
    <w:qFormat/>
    <w:rsid w:val="00186EA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86EAE"/>
    <w:pPr>
      <w:spacing w:after="100"/>
    </w:pPr>
  </w:style>
  <w:style w:type="paragraph" w:styleId="TOC2">
    <w:name w:val="toc 2"/>
    <w:basedOn w:val="Normal"/>
    <w:next w:val="Normal"/>
    <w:autoRedefine/>
    <w:uiPriority w:val="39"/>
    <w:unhideWhenUsed/>
    <w:rsid w:val="00186EAE"/>
    <w:pPr>
      <w:spacing w:after="100"/>
      <w:ind w:left="240"/>
    </w:pPr>
  </w:style>
  <w:style w:type="character" w:styleId="Hyperlink">
    <w:name w:val="Hyperlink"/>
    <w:basedOn w:val="DefaultParagraphFont"/>
    <w:uiPriority w:val="99"/>
    <w:unhideWhenUsed/>
    <w:rsid w:val="00186EAE"/>
    <w:rPr>
      <w:color w:val="467886" w:themeColor="hyperlink"/>
      <w:u w:val="single"/>
    </w:rPr>
  </w:style>
  <w:style w:type="paragraph" w:styleId="TOC3">
    <w:name w:val="toc 3"/>
    <w:basedOn w:val="Normal"/>
    <w:next w:val="Normal"/>
    <w:autoRedefine/>
    <w:uiPriority w:val="39"/>
    <w:unhideWhenUsed/>
    <w:rsid w:val="00847962"/>
    <w:pPr>
      <w:spacing w:after="100"/>
      <w:ind w:left="480"/>
    </w:pPr>
  </w:style>
  <w:style w:type="paragraph" w:styleId="Header">
    <w:name w:val="header"/>
    <w:basedOn w:val="Normal"/>
    <w:link w:val="HeaderChar"/>
    <w:uiPriority w:val="99"/>
    <w:unhideWhenUsed/>
    <w:rsid w:val="00054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B24"/>
  </w:style>
  <w:style w:type="paragraph" w:styleId="Footer">
    <w:name w:val="footer"/>
    <w:basedOn w:val="Normal"/>
    <w:link w:val="FooterChar"/>
    <w:uiPriority w:val="99"/>
    <w:unhideWhenUsed/>
    <w:rsid w:val="00054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344">
      <w:bodyDiv w:val="1"/>
      <w:marLeft w:val="0"/>
      <w:marRight w:val="0"/>
      <w:marTop w:val="0"/>
      <w:marBottom w:val="0"/>
      <w:divBdr>
        <w:top w:val="none" w:sz="0" w:space="0" w:color="auto"/>
        <w:left w:val="none" w:sz="0" w:space="0" w:color="auto"/>
        <w:bottom w:val="none" w:sz="0" w:space="0" w:color="auto"/>
        <w:right w:val="none" w:sz="0" w:space="0" w:color="auto"/>
      </w:divBdr>
    </w:div>
    <w:div w:id="8916763">
      <w:bodyDiv w:val="1"/>
      <w:marLeft w:val="0"/>
      <w:marRight w:val="0"/>
      <w:marTop w:val="0"/>
      <w:marBottom w:val="0"/>
      <w:divBdr>
        <w:top w:val="none" w:sz="0" w:space="0" w:color="auto"/>
        <w:left w:val="none" w:sz="0" w:space="0" w:color="auto"/>
        <w:bottom w:val="none" w:sz="0" w:space="0" w:color="auto"/>
        <w:right w:val="none" w:sz="0" w:space="0" w:color="auto"/>
      </w:divBdr>
    </w:div>
    <w:div w:id="142740951">
      <w:bodyDiv w:val="1"/>
      <w:marLeft w:val="0"/>
      <w:marRight w:val="0"/>
      <w:marTop w:val="0"/>
      <w:marBottom w:val="0"/>
      <w:divBdr>
        <w:top w:val="none" w:sz="0" w:space="0" w:color="auto"/>
        <w:left w:val="none" w:sz="0" w:space="0" w:color="auto"/>
        <w:bottom w:val="none" w:sz="0" w:space="0" w:color="auto"/>
        <w:right w:val="none" w:sz="0" w:space="0" w:color="auto"/>
      </w:divBdr>
    </w:div>
    <w:div w:id="198275486">
      <w:bodyDiv w:val="1"/>
      <w:marLeft w:val="0"/>
      <w:marRight w:val="0"/>
      <w:marTop w:val="0"/>
      <w:marBottom w:val="0"/>
      <w:divBdr>
        <w:top w:val="none" w:sz="0" w:space="0" w:color="auto"/>
        <w:left w:val="none" w:sz="0" w:space="0" w:color="auto"/>
        <w:bottom w:val="none" w:sz="0" w:space="0" w:color="auto"/>
        <w:right w:val="none" w:sz="0" w:space="0" w:color="auto"/>
      </w:divBdr>
    </w:div>
    <w:div w:id="262418172">
      <w:bodyDiv w:val="1"/>
      <w:marLeft w:val="0"/>
      <w:marRight w:val="0"/>
      <w:marTop w:val="0"/>
      <w:marBottom w:val="0"/>
      <w:divBdr>
        <w:top w:val="none" w:sz="0" w:space="0" w:color="auto"/>
        <w:left w:val="none" w:sz="0" w:space="0" w:color="auto"/>
        <w:bottom w:val="none" w:sz="0" w:space="0" w:color="auto"/>
        <w:right w:val="none" w:sz="0" w:space="0" w:color="auto"/>
      </w:divBdr>
    </w:div>
    <w:div w:id="273559819">
      <w:bodyDiv w:val="1"/>
      <w:marLeft w:val="0"/>
      <w:marRight w:val="0"/>
      <w:marTop w:val="0"/>
      <w:marBottom w:val="0"/>
      <w:divBdr>
        <w:top w:val="none" w:sz="0" w:space="0" w:color="auto"/>
        <w:left w:val="none" w:sz="0" w:space="0" w:color="auto"/>
        <w:bottom w:val="none" w:sz="0" w:space="0" w:color="auto"/>
        <w:right w:val="none" w:sz="0" w:space="0" w:color="auto"/>
      </w:divBdr>
    </w:div>
    <w:div w:id="410662701">
      <w:bodyDiv w:val="1"/>
      <w:marLeft w:val="0"/>
      <w:marRight w:val="0"/>
      <w:marTop w:val="0"/>
      <w:marBottom w:val="0"/>
      <w:divBdr>
        <w:top w:val="none" w:sz="0" w:space="0" w:color="auto"/>
        <w:left w:val="none" w:sz="0" w:space="0" w:color="auto"/>
        <w:bottom w:val="none" w:sz="0" w:space="0" w:color="auto"/>
        <w:right w:val="none" w:sz="0" w:space="0" w:color="auto"/>
      </w:divBdr>
    </w:div>
    <w:div w:id="451823114">
      <w:bodyDiv w:val="1"/>
      <w:marLeft w:val="0"/>
      <w:marRight w:val="0"/>
      <w:marTop w:val="0"/>
      <w:marBottom w:val="0"/>
      <w:divBdr>
        <w:top w:val="none" w:sz="0" w:space="0" w:color="auto"/>
        <w:left w:val="none" w:sz="0" w:space="0" w:color="auto"/>
        <w:bottom w:val="none" w:sz="0" w:space="0" w:color="auto"/>
        <w:right w:val="none" w:sz="0" w:space="0" w:color="auto"/>
      </w:divBdr>
    </w:div>
    <w:div w:id="489904362">
      <w:bodyDiv w:val="1"/>
      <w:marLeft w:val="0"/>
      <w:marRight w:val="0"/>
      <w:marTop w:val="0"/>
      <w:marBottom w:val="0"/>
      <w:divBdr>
        <w:top w:val="none" w:sz="0" w:space="0" w:color="auto"/>
        <w:left w:val="none" w:sz="0" w:space="0" w:color="auto"/>
        <w:bottom w:val="none" w:sz="0" w:space="0" w:color="auto"/>
        <w:right w:val="none" w:sz="0" w:space="0" w:color="auto"/>
      </w:divBdr>
    </w:div>
    <w:div w:id="574776681">
      <w:bodyDiv w:val="1"/>
      <w:marLeft w:val="0"/>
      <w:marRight w:val="0"/>
      <w:marTop w:val="0"/>
      <w:marBottom w:val="0"/>
      <w:divBdr>
        <w:top w:val="none" w:sz="0" w:space="0" w:color="auto"/>
        <w:left w:val="none" w:sz="0" w:space="0" w:color="auto"/>
        <w:bottom w:val="none" w:sz="0" w:space="0" w:color="auto"/>
        <w:right w:val="none" w:sz="0" w:space="0" w:color="auto"/>
      </w:divBdr>
    </w:div>
    <w:div w:id="574900700">
      <w:bodyDiv w:val="1"/>
      <w:marLeft w:val="0"/>
      <w:marRight w:val="0"/>
      <w:marTop w:val="0"/>
      <w:marBottom w:val="0"/>
      <w:divBdr>
        <w:top w:val="none" w:sz="0" w:space="0" w:color="auto"/>
        <w:left w:val="none" w:sz="0" w:space="0" w:color="auto"/>
        <w:bottom w:val="none" w:sz="0" w:space="0" w:color="auto"/>
        <w:right w:val="none" w:sz="0" w:space="0" w:color="auto"/>
      </w:divBdr>
    </w:div>
    <w:div w:id="641158046">
      <w:bodyDiv w:val="1"/>
      <w:marLeft w:val="0"/>
      <w:marRight w:val="0"/>
      <w:marTop w:val="0"/>
      <w:marBottom w:val="0"/>
      <w:divBdr>
        <w:top w:val="none" w:sz="0" w:space="0" w:color="auto"/>
        <w:left w:val="none" w:sz="0" w:space="0" w:color="auto"/>
        <w:bottom w:val="none" w:sz="0" w:space="0" w:color="auto"/>
        <w:right w:val="none" w:sz="0" w:space="0" w:color="auto"/>
      </w:divBdr>
    </w:div>
    <w:div w:id="669137274">
      <w:bodyDiv w:val="1"/>
      <w:marLeft w:val="0"/>
      <w:marRight w:val="0"/>
      <w:marTop w:val="0"/>
      <w:marBottom w:val="0"/>
      <w:divBdr>
        <w:top w:val="none" w:sz="0" w:space="0" w:color="auto"/>
        <w:left w:val="none" w:sz="0" w:space="0" w:color="auto"/>
        <w:bottom w:val="none" w:sz="0" w:space="0" w:color="auto"/>
        <w:right w:val="none" w:sz="0" w:space="0" w:color="auto"/>
      </w:divBdr>
    </w:div>
    <w:div w:id="770668245">
      <w:bodyDiv w:val="1"/>
      <w:marLeft w:val="0"/>
      <w:marRight w:val="0"/>
      <w:marTop w:val="0"/>
      <w:marBottom w:val="0"/>
      <w:divBdr>
        <w:top w:val="none" w:sz="0" w:space="0" w:color="auto"/>
        <w:left w:val="none" w:sz="0" w:space="0" w:color="auto"/>
        <w:bottom w:val="none" w:sz="0" w:space="0" w:color="auto"/>
        <w:right w:val="none" w:sz="0" w:space="0" w:color="auto"/>
      </w:divBdr>
    </w:div>
    <w:div w:id="782581371">
      <w:bodyDiv w:val="1"/>
      <w:marLeft w:val="0"/>
      <w:marRight w:val="0"/>
      <w:marTop w:val="0"/>
      <w:marBottom w:val="0"/>
      <w:divBdr>
        <w:top w:val="none" w:sz="0" w:space="0" w:color="auto"/>
        <w:left w:val="none" w:sz="0" w:space="0" w:color="auto"/>
        <w:bottom w:val="none" w:sz="0" w:space="0" w:color="auto"/>
        <w:right w:val="none" w:sz="0" w:space="0" w:color="auto"/>
      </w:divBdr>
    </w:div>
    <w:div w:id="990712396">
      <w:bodyDiv w:val="1"/>
      <w:marLeft w:val="0"/>
      <w:marRight w:val="0"/>
      <w:marTop w:val="0"/>
      <w:marBottom w:val="0"/>
      <w:divBdr>
        <w:top w:val="none" w:sz="0" w:space="0" w:color="auto"/>
        <w:left w:val="none" w:sz="0" w:space="0" w:color="auto"/>
        <w:bottom w:val="none" w:sz="0" w:space="0" w:color="auto"/>
        <w:right w:val="none" w:sz="0" w:space="0" w:color="auto"/>
      </w:divBdr>
    </w:div>
    <w:div w:id="1074425522">
      <w:bodyDiv w:val="1"/>
      <w:marLeft w:val="0"/>
      <w:marRight w:val="0"/>
      <w:marTop w:val="0"/>
      <w:marBottom w:val="0"/>
      <w:divBdr>
        <w:top w:val="none" w:sz="0" w:space="0" w:color="auto"/>
        <w:left w:val="none" w:sz="0" w:space="0" w:color="auto"/>
        <w:bottom w:val="none" w:sz="0" w:space="0" w:color="auto"/>
        <w:right w:val="none" w:sz="0" w:space="0" w:color="auto"/>
      </w:divBdr>
    </w:div>
    <w:div w:id="1106267517">
      <w:bodyDiv w:val="1"/>
      <w:marLeft w:val="0"/>
      <w:marRight w:val="0"/>
      <w:marTop w:val="0"/>
      <w:marBottom w:val="0"/>
      <w:divBdr>
        <w:top w:val="none" w:sz="0" w:space="0" w:color="auto"/>
        <w:left w:val="none" w:sz="0" w:space="0" w:color="auto"/>
        <w:bottom w:val="none" w:sz="0" w:space="0" w:color="auto"/>
        <w:right w:val="none" w:sz="0" w:space="0" w:color="auto"/>
      </w:divBdr>
    </w:div>
    <w:div w:id="1135686382">
      <w:bodyDiv w:val="1"/>
      <w:marLeft w:val="0"/>
      <w:marRight w:val="0"/>
      <w:marTop w:val="0"/>
      <w:marBottom w:val="0"/>
      <w:divBdr>
        <w:top w:val="none" w:sz="0" w:space="0" w:color="auto"/>
        <w:left w:val="none" w:sz="0" w:space="0" w:color="auto"/>
        <w:bottom w:val="none" w:sz="0" w:space="0" w:color="auto"/>
        <w:right w:val="none" w:sz="0" w:space="0" w:color="auto"/>
      </w:divBdr>
    </w:div>
    <w:div w:id="1152330124">
      <w:bodyDiv w:val="1"/>
      <w:marLeft w:val="0"/>
      <w:marRight w:val="0"/>
      <w:marTop w:val="0"/>
      <w:marBottom w:val="0"/>
      <w:divBdr>
        <w:top w:val="none" w:sz="0" w:space="0" w:color="auto"/>
        <w:left w:val="none" w:sz="0" w:space="0" w:color="auto"/>
        <w:bottom w:val="none" w:sz="0" w:space="0" w:color="auto"/>
        <w:right w:val="none" w:sz="0" w:space="0" w:color="auto"/>
      </w:divBdr>
    </w:div>
    <w:div w:id="1698845829">
      <w:bodyDiv w:val="1"/>
      <w:marLeft w:val="0"/>
      <w:marRight w:val="0"/>
      <w:marTop w:val="0"/>
      <w:marBottom w:val="0"/>
      <w:divBdr>
        <w:top w:val="none" w:sz="0" w:space="0" w:color="auto"/>
        <w:left w:val="none" w:sz="0" w:space="0" w:color="auto"/>
        <w:bottom w:val="none" w:sz="0" w:space="0" w:color="auto"/>
        <w:right w:val="none" w:sz="0" w:space="0" w:color="auto"/>
      </w:divBdr>
    </w:div>
    <w:div w:id="1730034220">
      <w:bodyDiv w:val="1"/>
      <w:marLeft w:val="0"/>
      <w:marRight w:val="0"/>
      <w:marTop w:val="0"/>
      <w:marBottom w:val="0"/>
      <w:divBdr>
        <w:top w:val="none" w:sz="0" w:space="0" w:color="auto"/>
        <w:left w:val="none" w:sz="0" w:space="0" w:color="auto"/>
        <w:bottom w:val="none" w:sz="0" w:space="0" w:color="auto"/>
        <w:right w:val="none" w:sz="0" w:space="0" w:color="auto"/>
      </w:divBdr>
    </w:div>
    <w:div w:id="1730377931">
      <w:bodyDiv w:val="1"/>
      <w:marLeft w:val="0"/>
      <w:marRight w:val="0"/>
      <w:marTop w:val="0"/>
      <w:marBottom w:val="0"/>
      <w:divBdr>
        <w:top w:val="none" w:sz="0" w:space="0" w:color="auto"/>
        <w:left w:val="none" w:sz="0" w:space="0" w:color="auto"/>
        <w:bottom w:val="none" w:sz="0" w:space="0" w:color="auto"/>
        <w:right w:val="none" w:sz="0" w:space="0" w:color="auto"/>
      </w:divBdr>
    </w:div>
    <w:div w:id="1807427772">
      <w:bodyDiv w:val="1"/>
      <w:marLeft w:val="0"/>
      <w:marRight w:val="0"/>
      <w:marTop w:val="0"/>
      <w:marBottom w:val="0"/>
      <w:divBdr>
        <w:top w:val="none" w:sz="0" w:space="0" w:color="auto"/>
        <w:left w:val="none" w:sz="0" w:space="0" w:color="auto"/>
        <w:bottom w:val="none" w:sz="0" w:space="0" w:color="auto"/>
        <w:right w:val="none" w:sz="0" w:space="0" w:color="auto"/>
      </w:divBdr>
    </w:div>
    <w:div w:id="1842743273">
      <w:bodyDiv w:val="1"/>
      <w:marLeft w:val="0"/>
      <w:marRight w:val="0"/>
      <w:marTop w:val="0"/>
      <w:marBottom w:val="0"/>
      <w:divBdr>
        <w:top w:val="none" w:sz="0" w:space="0" w:color="auto"/>
        <w:left w:val="none" w:sz="0" w:space="0" w:color="auto"/>
        <w:bottom w:val="none" w:sz="0" w:space="0" w:color="auto"/>
        <w:right w:val="none" w:sz="0" w:space="0" w:color="auto"/>
      </w:divBdr>
    </w:div>
    <w:div w:id="1880238607">
      <w:bodyDiv w:val="1"/>
      <w:marLeft w:val="0"/>
      <w:marRight w:val="0"/>
      <w:marTop w:val="0"/>
      <w:marBottom w:val="0"/>
      <w:divBdr>
        <w:top w:val="none" w:sz="0" w:space="0" w:color="auto"/>
        <w:left w:val="none" w:sz="0" w:space="0" w:color="auto"/>
        <w:bottom w:val="none" w:sz="0" w:space="0" w:color="auto"/>
        <w:right w:val="none" w:sz="0" w:space="0" w:color="auto"/>
      </w:divBdr>
    </w:div>
    <w:div w:id="1975676486">
      <w:bodyDiv w:val="1"/>
      <w:marLeft w:val="0"/>
      <w:marRight w:val="0"/>
      <w:marTop w:val="0"/>
      <w:marBottom w:val="0"/>
      <w:divBdr>
        <w:top w:val="none" w:sz="0" w:space="0" w:color="auto"/>
        <w:left w:val="none" w:sz="0" w:space="0" w:color="auto"/>
        <w:bottom w:val="none" w:sz="0" w:space="0" w:color="auto"/>
        <w:right w:val="none" w:sz="0" w:space="0" w:color="auto"/>
      </w:divBdr>
    </w:div>
    <w:div w:id="1997998860">
      <w:bodyDiv w:val="1"/>
      <w:marLeft w:val="0"/>
      <w:marRight w:val="0"/>
      <w:marTop w:val="0"/>
      <w:marBottom w:val="0"/>
      <w:divBdr>
        <w:top w:val="none" w:sz="0" w:space="0" w:color="auto"/>
        <w:left w:val="none" w:sz="0" w:space="0" w:color="auto"/>
        <w:bottom w:val="none" w:sz="0" w:space="0" w:color="auto"/>
        <w:right w:val="none" w:sz="0" w:space="0" w:color="auto"/>
      </w:divBdr>
    </w:div>
    <w:div w:id="211878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Dallas, TX</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C1843E71FDC494EBAA3469797ACF8A4" ma:contentTypeVersion="8" ma:contentTypeDescription="Create a new document." ma:contentTypeScope="" ma:versionID="09f48bd6dc2056dd247f337bfb615105">
  <xsd:schema xmlns:xsd="http://www.w3.org/2001/XMLSchema" xmlns:xs="http://www.w3.org/2001/XMLSchema" xmlns:p="http://schemas.microsoft.com/office/2006/metadata/properties" xmlns:ns3="7fbcd356-5a0a-4902-a4de-9d99e3d09c98" targetNamespace="http://schemas.microsoft.com/office/2006/metadata/properties" ma:root="true" ma:fieldsID="a43121118ab5974183738ae8b722971b" ns3:_="">
    <xsd:import namespace="7fbcd356-5a0a-4902-a4de-9d99e3d09c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cd356-5a0a-4902-a4de-9d99e3d09c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62806-D139-4E75-99DA-6984A58B7C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5B9AB8-D29F-446C-AED4-E21F43CF5831}">
  <ds:schemaRefs>
    <ds:schemaRef ds:uri="http://schemas.microsoft.com/sharepoint/v3/contenttype/forms"/>
  </ds:schemaRefs>
</ds:datastoreItem>
</file>

<file path=customXml/itemProps4.xml><?xml version="1.0" encoding="utf-8"?>
<ds:datastoreItem xmlns:ds="http://schemas.openxmlformats.org/officeDocument/2006/customXml" ds:itemID="{6BE1A0A8-4368-4E23-986C-BD3BC01BC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bcd356-5a0a-4902-a4de-9d99e3d09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22B9F0-F350-43F8-ADB7-6DAED65F1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1135</Words>
  <Characters>6474</Characters>
  <Application>Microsoft Office Word</Application>
  <DocSecurity>0</DocSecurity>
  <Lines>53</Lines>
  <Paragraphs>15</Paragraphs>
  <ScaleCrop>false</ScaleCrop>
  <Company>My Company</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 Data Privacy Risks</dc:title>
  <dc:subject/>
  <dc:creator>Rick Abraham</dc:creator>
  <cp:keywords/>
  <dc:description/>
  <cp:lastModifiedBy>Rick Abraham</cp:lastModifiedBy>
  <cp:revision>11</cp:revision>
  <dcterms:created xsi:type="dcterms:W3CDTF">2024-11-15T18:46:00Z</dcterms:created>
  <dcterms:modified xsi:type="dcterms:W3CDTF">2024-11-15T23:48:00Z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0x010100AC1843E71FDC494EBAA3469797ACF8A4</vt:lpwstr>
  </property>
</Properties>
</file>