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458DC4CE" w:rsidR="00186EAE" w:rsidRDefault="007640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640B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– Compliance Risks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458DC4CE" w:rsidR="00186EAE" w:rsidRDefault="007640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7640B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– Compliance Risks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495A77E2" w14:textId="03ECE375" w:rsidR="00B559FF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4971" w:history="1">
            <w:r w:rsidR="00B559FF" w:rsidRPr="00D5169E">
              <w:rPr>
                <w:rStyle w:val="Hyperlink"/>
                <w:noProof/>
              </w:rPr>
              <w:t>Introduction</w:t>
            </w:r>
            <w:r w:rsidR="00B559FF">
              <w:rPr>
                <w:noProof/>
                <w:webHidden/>
              </w:rPr>
              <w:tab/>
            </w:r>
            <w:r w:rsidR="00B559FF">
              <w:rPr>
                <w:noProof/>
                <w:webHidden/>
              </w:rPr>
              <w:fldChar w:fldCharType="begin"/>
            </w:r>
            <w:r w:rsidR="00B559FF">
              <w:rPr>
                <w:noProof/>
                <w:webHidden/>
              </w:rPr>
              <w:instrText xml:space="preserve"> PAGEREF _Toc182584971 \h </w:instrText>
            </w:r>
            <w:r w:rsidR="00B559FF">
              <w:rPr>
                <w:noProof/>
                <w:webHidden/>
              </w:rPr>
            </w:r>
            <w:r w:rsidR="00B559FF"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2</w:t>
            </w:r>
            <w:r w:rsidR="00B559FF">
              <w:rPr>
                <w:noProof/>
                <w:webHidden/>
              </w:rPr>
              <w:fldChar w:fldCharType="end"/>
            </w:r>
          </w:hyperlink>
        </w:p>
        <w:p w14:paraId="2EB5F2A4" w14:textId="2734DD2D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2" w:history="1">
            <w:r w:rsidRPr="00D5169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59BE" w14:textId="23ABA1B0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3" w:history="1">
            <w:r w:rsidRPr="00D5169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9189" w14:textId="353E0BAF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4" w:history="1">
            <w:r w:rsidRPr="00D5169E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017F" w14:textId="292B9EEF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5" w:history="1">
            <w:r w:rsidRPr="00D5169E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3EFA" w14:textId="61302585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6" w:history="1">
            <w:r w:rsidRPr="00D5169E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CE7D" w14:textId="4857A61A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7" w:history="1">
            <w:r w:rsidRPr="00D5169E">
              <w:rPr>
                <w:rStyle w:val="Hyperlink"/>
                <w:noProof/>
              </w:rPr>
              <w:t>Employee Laptops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9129" w14:textId="0A55A734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8" w:history="1">
            <w:r w:rsidRPr="00D5169E">
              <w:rPr>
                <w:rStyle w:val="Hyperlink"/>
                <w:noProof/>
              </w:rPr>
              <w:t>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C67C" w14:textId="22DAC3B9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9" w:history="1">
            <w:r w:rsidRPr="00D5169E">
              <w:rPr>
                <w:rStyle w:val="Hyperlink"/>
                <w:noProof/>
              </w:rPr>
              <w:t>IoT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4ECD" w14:textId="06CD4F4A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0" w:history="1">
            <w:r w:rsidRPr="00D5169E">
              <w:rPr>
                <w:rStyle w:val="Hyperlink"/>
                <w:noProof/>
              </w:rPr>
              <w:t>Unregistered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DA73" w14:textId="410A500E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1" w:history="1">
            <w:r w:rsidRPr="00D5169E">
              <w:rPr>
                <w:rStyle w:val="Hyperlink"/>
                <w:noProof/>
              </w:rPr>
              <w:t>Wearables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4EA9" w14:textId="674756AA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2" w:history="1">
            <w:r w:rsidRPr="00D5169E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7DE9" w14:textId="12DC1DDC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3" w:history="1">
            <w:r w:rsidRPr="00D5169E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4FA7" w14:textId="7936FB72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4" w:history="1">
            <w:r w:rsidRPr="00D5169E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84BE" w14:textId="50A8FC2A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5" w:history="1">
            <w:r w:rsidRPr="00D5169E">
              <w:rPr>
                <w:rStyle w:val="Hyperlink"/>
                <w:noProof/>
              </w:rPr>
              <w:t>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6D60" w14:textId="0F498C4A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6" w:history="1">
            <w:r w:rsidRPr="00D5169E">
              <w:rPr>
                <w:rStyle w:val="Hyperlink"/>
                <w:noProof/>
              </w:rPr>
              <w:t>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DB90" w14:textId="3046CDD7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7" w:history="1">
            <w:r w:rsidRPr="00D5169E">
              <w:rPr>
                <w:rStyle w:val="Hyperlink"/>
                <w:noProof/>
              </w:rPr>
              <w:t>Bi-Annually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D511" w14:textId="08568B7F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8" w:history="1">
            <w:r w:rsidRPr="00D5169E">
              <w:rPr>
                <w:rStyle w:val="Hyperlink"/>
                <w:noProof/>
              </w:rPr>
              <w:t>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B808" w14:textId="1F3EAD4B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9" w:history="1">
            <w:r w:rsidRPr="00D5169E">
              <w:rPr>
                <w:rStyle w:val="Hyperlink"/>
                <w:noProof/>
              </w:rPr>
              <w:t>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CFFD" w14:textId="7231694E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90" w:history="1">
            <w:r w:rsidRPr="00D5169E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026C08E3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35DA64E9" w:rsidR="00186EAE" w:rsidRPr="00186EAE" w:rsidRDefault="00186EAE" w:rsidP="00186EAE">
      <w:pPr>
        <w:pStyle w:val="Title"/>
      </w:pPr>
      <w:r w:rsidRPr="00186EAE">
        <w:lastRenderedPageBreak/>
        <w:t xml:space="preserve">Risk Assessment </w:t>
      </w:r>
      <w:r w:rsidR="009C7D06">
        <w:t>–</w:t>
      </w:r>
      <w:r w:rsidRPr="00186EAE">
        <w:t xml:space="preserve"> </w:t>
      </w:r>
      <w:r w:rsidR="007640B2" w:rsidRPr="007640B2">
        <w:t>Compliance Risks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84971"/>
      <w:r w:rsidRPr="00186EAE">
        <w:t>Introduction</w:t>
      </w:r>
      <w:bookmarkEnd w:id="0"/>
    </w:p>
    <w:p w14:paraId="31D5829C" w14:textId="2FD01260" w:rsidR="00186EAE" w:rsidRPr="00186EAE" w:rsidRDefault="00186EAE" w:rsidP="00CD2373">
      <w:bookmarkStart w:id="1" w:name="_Toc182584972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7640B2" w:rsidRPr="007640B2">
        <w:t xml:space="preserve">This risk assessment evaluates vulnerabilities and threats associated with non-compliance </w:t>
      </w:r>
      <w:proofErr w:type="gramStart"/>
      <w:r w:rsidR="007640B2" w:rsidRPr="007640B2">
        <w:t>to</w:t>
      </w:r>
      <w:proofErr w:type="gramEnd"/>
      <w:r w:rsidR="007640B2" w:rsidRPr="007640B2">
        <w:t xml:space="preserve"> regulatory frameworks (e.g., GDPR, HIPAA, PCI DSS) and industry standards (e.g., ISO 27001, NIST SP 800-53). It identifies risks, their impacts, and provides mitigation strategies to ensure legal and regulatory obligations are met.</w:t>
      </w:r>
    </w:p>
    <w:p w14:paraId="67006154" w14:textId="16E87B97" w:rsidR="00186EAE" w:rsidRPr="00186EAE" w:rsidRDefault="00186EAE" w:rsidP="0014054D">
      <w:bookmarkStart w:id="2" w:name="_Toc182584973"/>
      <w:r w:rsidRPr="00186EAE">
        <w:rPr>
          <w:rStyle w:val="Heading2Char"/>
        </w:rPr>
        <w:t>Scope</w:t>
      </w:r>
      <w:bookmarkEnd w:id="2"/>
      <w:r w:rsidRPr="00186EAE">
        <w:t>:</w:t>
      </w:r>
      <w:r w:rsidR="00CD2373">
        <w:t xml:space="preserve"> </w:t>
      </w:r>
      <w:r w:rsidR="007640B2" w:rsidRPr="007640B2">
        <w:t>Covers all organizational processes, systems, and third-party engagements that are subject to compliance requirements.</w:t>
      </w:r>
    </w:p>
    <w:p w14:paraId="10F73900" w14:textId="01968F10" w:rsidR="00073FD1" w:rsidRDefault="00186EAE" w:rsidP="00185631">
      <w:pPr>
        <w:pStyle w:val="Heading1"/>
      </w:pPr>
      <w:bookmarkStart w:id="3" w:name="_Toc182584974"/>
      <w:r w:rsidRPr="00186EAE">
        <w:t>Risk Identification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2312"/>
        <w:gridCol w:w="2565"/>
        <w:gridCol w:w="2059"/>
        <w:gridCol w:w="1016"/>
      </w:tblGrid>
      <w:tr w:rsidR="007640B2" w:rsidRPr="007640B2" w14:paraId="6966BDA7" w14:textId="77777777" w:rsidTr="0076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E3A8F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243979C9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4C01D4FB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D548D87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FC666E9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Risk Rating</w:t>
            </w:r>
          </w:p>
        </w:tc>
      </w:tr>
      <w:tr w:rsidR="007640B2" w:rsidRPr="007640B2" w14:paraId="03C88B4A" w14:textId="77777777" w:rsidTr="0076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694AC" w14:textId="77777777" w:rsidR="007640B2" w:rsidRPr="007640B2" w:rsidRDefault="007640B2" w:rsidP="007640B2">
            <w:r w:rsidRPr="007640B2">
              <w:t>Personal Data (PII)</w:t>
            </w:r>
          </w:p>
        </w:tc>
        <w:tc>
          <w:tcPr>
            <w:tcW w:w="0" w:type="auto"/>
            <w:vAlign w:val="center"/>
            <w:hideMark/>
          </w:tcPr>
          <w:p w14:paraId="37025EA1" w14:textId="77777777" w:rsidR="007640B2" w:rsidRPr="007640B2" w:rsidRDefault="007640B2" w:rsidP="007640B2">
            <w:r w:rsidRPr="007640B2">
              <w:t>Unauthorized access or mishandling of personal data</w:t>
            </w:r>
          </w:p>
        </w:tc>
        <w:tc>
          <w:tcPr>
            <w:tcW w:w="0" w:type="auto"/>
            <w:vAlign w:val="center"/>
            <w:hideMark/>
          </w:tcPr>
          <w:p w14:paraId="70F51FA6" w14:textId="77777777" w:rsidR="007640B2" w:rsidRPr="007640B2" w:rsidRDefault="007640B2" w:rsidP="007640B2">
            <w:r w:rsidRPr="007640B2">
              <w:t>Lack of encryption or access control</w:t>
            </w:r>
          </w:p>
        </w:tc>
        <w:tc>
          <w:tcPr>
            <w:tcW w:w="0" w:type="auto"/>
            <w:vAlign w:val="center"/>
            <w:hideMark/>
          </w:tcPr>
          <w:p w14:paraId="06CC295B" w14:textId="77777777" w:rsidR="007640B2" w:rsidRPr="007640B2" w:rsidRDefault="007640B2" w:rsidP="007640B2">
            <w:r w:rsidRPr="007640B2">
              <w:t>Fines, legal penalties, reputational damage</w:t>
            </w:r>
          </w:p>
        </w:tc>
        <w:tc>
          <w:tcPr>
            <w:tcW w:w="0" w:type="auto"/>
            <w:vAlign w:val="center"/>
            <w:hideMark/>
          </w:tcPr>
          <w:p w14:paraId="615B39E2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</w:tr>
      <w:tr w:rsidR="007640B2" w:rsidRPr="007640B2" w14:paraId="3FF27A56" w14:textId="77777777" w:rsidTr="0076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56D9" w14:textId="77777777" w:rsidR="007640B2" w:rsidRPr="007640B2" w:rsidRDefault="007640B2" w:rsidP="007640B2">
            <w:r w:rsidRPr="007640B2">
              <w:t>Payment Data (PCI)</w:t>
            </w:r>
          </w:p>
        </w:tc>
        <w:tc>
          <w:tcPr>
            <w:tcW w:w="0" w:type="auto"/>
            <w:vAlign w:val="center"/>
            <w:hideMark/>
          </w:tcPr>
          <w:p w14:paraId="38D488D1" w14:textId="77777777" w:rsidR="007640B2" w:rsidRPr="007640B2" w:rsidRDefault="007640B2" w:rsidP="007640B2">
            <w:r w:rsidRPr="007640B2">
              <w:t>Breach of credit card or payment information</w:t>
            </w:r>
          </w:p>
        </w:tc>
        <w:tc>
          <w:tcPr>
            <w:tcW w:w="0" w:type="auto"/>
            <w:vAlign w:val="center"/>
            <w:hideMark/>
          </w:tcPr>
          <w:p w14:paraId="4C91866D" w14:textId="77777777" w:rsidR="007640B2" w:rsidRPr="007640B2" w:rsidRDefault="007640B2" w:rsidP="007640B2">
            <w:r w:rsidRPr="007640B2">
              <w:t>Inadequate adherence to PCI DSS standards</w:t>
            </w:r>
          </w:p>
        </w:tc>
        <w:tc>
          <w:tcPr>
            <w:tcW w:w="0" w:type="auto"/>
            <w:vAlign w:val="center"/>
            <w:hideMark/>
          </w:tcPr>
          <w:p w14:paraId="05DEEEE6" w14:textId="77777777" w:rsidR="007640B2" w:rsidRPr="007640B2" w:rsidRDefault="007640B2" w:rsidP="007640B2">
            <w:r w:rsidRPr="007640B2">
              <w:t>Fraud, financial losses, compliance violations</w:t>
            </w:r>
          </w:p>
        </w:tc>
        <w:tc>
          <w:tcPr>
            <w:tcW w:w="0" w:type="auto"/>
            <w:vAlign w:val="center"/>
            <w:hideMark/>
          </w:tcPr>
          <w:p w14:paraId="547FA53A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</w:tr>
      <w:tr w:rsidR="007640B2" w:rsidRPr="007640B2" w14:paraId="6287AEC1" w14:textId="77777777" w:rsidTr="0076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0E08" w14:textId="77777777" w:rsidR="007640B2" w:rsidRPr="007640B2" w:rsidRDefault="007640B2" w:rsidP="007640B2">
            <w:r w:rsidRPr="007640B2">
              <w:t>Medical Data (PHI)</w:t>
            </w:r>
          </w:p>
        </w:tc>
        <w:tc>
          <w:tcPr>
            <w:tcW w:w="0" w:type="auto"/>
            <w:vAlign w:val="center"/>
            <w:hideMark/>
          </w:tcPr>
          <w:p w14:paraId="04C32C1E" w14:textId="77777777" w:rsidR="007640B2" w:rsidRPr="007640B2" w:rsidRDefault="007640B2" w:rsidP="007640B2">
            <w:r w:rsidRPr="007640B2">
              <w:t>Non-compliance with HIPAA requirements</w:t>
            </w:r>
          </w:p>
        </w:tc>
        <w:tc>
          <w:tcPr>
            <w:tcW w:w="0" w:type="auto"/>
            <w:vAlign w:val="center"/>
            <w:hideMark/>
          </w:tcPr>
          <w:p w14:paraId="4E801AE4" w14:textId="77777777" w:rsidR="007640B2" w:rsidRPr="007640B2" w:rsidRDefault="007640B2" w:rsidP="007640B2">
            <w:r w:rsidRPr="007640B2">
              <w:t>Unsecured storage or transmission of sensitive health data</w:t>
            </w:r>
          </w:p>
        </w:tc>
        <w:tc>
          <w:tcPr>
            <w:tcW w:w="0" w:type="auto"/>
            <w:vAlign w:val="center"/>
            <w:hideMark/>
          </w:tcPr>
          <w:p w14:paraId="23948C2C" w14:textId="77777777" w:rsidR="007640B2" w:rsidRPr="007640B2" w:rsidRDefault="007640B2" w:rsidP="007640B2">
            <w:r w:rsidRPr="007640B2">
              <w:t>Legal penalties, patient trust issues</w:t>
            </w:r>
          </w:p>
        </w:tc>
        <w:tc>
          <w:tcPr>
            <w:tcW w:w="0" w:type="auto"/>
            <w:vAlign w:val="center"/>
            <w:hideMark/>
          </w:tcPr>
          <w:p w14:paraId="14D24AAE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</w:tr>
      <w:tr w:rsidR="007640B2" w:rsidRPr="007640B2" w14:paraId="59224DF1" w14:textId="77777777" w:rsidTr="0076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80F23" w14:textId="77777777" w:rsidR="007640B2" w:rsidRPr="007640B2" w:rsidRDefault="007640B2" w:rsidP="007640B2">
            <w:r w:rsidRPr="007640B2">
              <w:t>Third-Party Processes</w:t>
            </w:r>
          </w:p>
        </w:tc>
        <w:tc>
          <w:tcPr>
            <w:tcW w:w="0" w:type="auto"/>
            <w:vAlign w:val="center"/>
            <w:hideMark/>
          </w:tcPr>
          <w:p w14:paraId="09797035" w14:textId="77777777" w:rsidR="007640B2" w:rsidRPr="007640B2" w:rsidRDefault="007640B2" w:rsidP="007640B2">
            <w:r w:rsidRPr="007640B2">
              <w:t>Vendors failing to meet contractual compliance terms</w:t>
            </w:r>
          </w:p>
        </w:tc>
        <w:tc>
          <w:tcPr>
            <w:tcW w:w="0" w:type="auto"/>
            <w:vAlign w:val="center"/>
            <w:hideMark/>
          </w:tcPr>
          <w:p w14:paraId="12D26777" w14:textId="77777777" w:rsidR="007640B2" w:rsidRPr="007640B2" w:rsidRDefault="007640B2" w:rsidP="007640B2">
            <w:r w:rsidRPr="007640B2">
              <w:t>Lack of vendor risk assessments</w:t>
            </w:r>
          </w:p>
        </w:tc>
        <w:tc>
          <w:tcPr>
            <w:tcW w:w="0" w:type="auto"/>
            <w:vAlign w:val="center"/>
            <w:hideMark/>
          </w:tcPr>
          <w:p w14:paraId="2CD7FB47" w14:textId="77777777" w:rsidR="007640B2" w:rsidRPr="007640B2" w:rsidRDefault="007640B2" w:rsidP="007640B2">
            <w:r w:rsidRPr="007640B2">
              <w:t>Legal penalties, supply chain disruptions</w:t>
            </w:r>
          </w:p>
        </w:tc>
        <w:tc>
          <w:tcPr>
            <w:tcW w:w="0" w:type="auto"/>
            <w:vAlign w:val="center"/>
            <w:hideMark/>
          </w:tcPr>
          <w:p w14:paraId="74CF8B5C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</w:tr>
      <w:tr w:rsidR="007640B2" w:rsidRPr="007640B2" w14:paraId="29DBF0BA" w14:textId="77777777" w:rsidTr="0076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0AC4" w14:textId="77777777" w:rsidR="007640B2" w:rsidRPr="007640B2" w:rsidRDefault="007640B2" w:rsidP="007640B2">
            <w:r w:rsidRPr="007640B2">
              <w:lastRenderedPageBreak/>
              <w:t>Audit and Reporting</w:t>
            </w:r>
          </w:p>
        </w:tc>
        <w:tc>
          <w:tcPr>
            <w:tcW w:w="0" w:type="auto"/>
            <w:vAlign w:val="center"/>
            <w:hideMark/>
          </w:tcPr>
          <w:p w14:paraId="064AD07B" w14:textId="77777777" w:rsidR="007640B2" w:rsidRPr="007640B2" w:rsidRDefault="007640B2" w:rsidP="007640B2">
            <w:r w:rsidRPr="007640B2">
              <w:t>Failure to maintain accurate logs for audits</w:t>
            </w:r>
          </w:p>
        </w:tc>
        <w:tc>
          <w:tcPr>
            <w:tcW w:w="0" w:type="auto"/>
            <w:vAlign w:val="center"/>
            <w:hideMark/>
          </w:tcPr>
          <w:p w14:paraId="7F2CB8E6" w14:textId="77777777" w:rsidR="007640B2" w:rsidRPr="007640B2" w:rsidRDefault="007640B2" w:rsidP="007640B2">
            <w:r w:rsidRPr="007640B2">
              <w:t>Insufficient logging or documentation</w:t>
            </w:r>
          </w:p>
        </w:tc>
        <w:tc>
          <w:tcPr>
            <w:tcW w:w="0" w:type="auto"/>
            <w:vAlign w:val="center"/>
            <w:hideMark/>
          </w:tcPr>
          <w:p w14:paraId="71BE54ED" w14:textId="77777777" w:rsidR="007640B2" w:rsidRPr="007640B2" w:rsidRDefault="007640B2" w:rsidP="007640B2">
            <w:r w:rsidRPr="007640B2">
              <w:t>Regulatory non-compliance, operational fines</w:t>
            </w:r>
          </w:p>
        </w:tc>
        <w:tc>
          <w:tcPr>
            <w:tcW w:w="0" w:type="auto"/>
            <w:vAlign w:val="center"/>
            <w:hideMark/>
          </w:tcPr>
          <w:p w14:paraId="2DCCEE3A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</w:tr>
    </w:tbl>
    <w:p w14:paraId="645C58D9" w14:textId="35A2E9F3" w:rsidR="00073FD1" w:rsidRDefault="00186EAE" w:rsidP="00185631">
      <w:pPr>
        <w:pStyle w:val="Heading1"/>
      </w:pPr>
      <w:bookmarkStart w:id="4" w:name="_Toc182584975"/>
      <w:r w:rsidRPr="00186EAE">
        <w:t>Risk Analysis</w:t>
      </w:r>
      <w:bookmarkEnd w:id="4"/>
    </w:p>
    <w:tbl>
      <w:tblPr>
        <w:tblW w:w="93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1538"/>
        <w:gridCol w:w="2269"/>
        <w:gridCol w:w="2561"/>
      </w:tblGrid>
      <w:tr w:rsidR="007640B2" w:rsidRPr="007640B2" w14:paraId="01C9B4D8" w14:textId="77777777" w:rsidTr="007640B2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56B55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4DB37A5D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96A1D7F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Impact Severity</w:t>
            </w:r>
          </w:p>
        </w:tc>
        <w:tc>
          <w:tcPr>
            <w:tcW w:w="0" w:type="auto"/>
            <w:vAlign w:val="center"/>
            <w:hideMark/>
          </w:tcPr>
          <w:p w14:paraId="76FA7790" w14:textId="77777777" w:rsidR="007640B2" w:rsidRPr="007640B2" w:rsidRDefault="007640B2" w:rsidP="007640B2">
            <w:pPr>
              <w:jc w:val="center"/>
              <w:rPr>
                <w:b/>
                <w:bCs/>
              </w:rPr>
            </w:pPr>
            <w:r w:rsidRPr="007640B2">
              <w:rPr>
                <w:b/>
                <w:bCs/>
              </w:rPr>
              <w:t>Overall Risk Level</w:t>
            </w:r>
          </w:p>
        </w:tc>
      </w:tr>
      <w:tr w:rsidR="007640B2" w:rsidRPr="007640B2" w14:paraId="602ACB51" w14:textId="77777777" w:rsidTr="007640B2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322B7ABE" w14:textId="77777777" w:rsidR="007640B2" w:rsidRPr="007640B2" w:rsidRDefault="007640B2" w:rsidP="007640B2">
            <w:r w:rsidRPr="007640B2">
              <w:t>Personal Data (PII)</w:t>
            </w:r>
          </w:p>
        </w:tc>
        <w:tc>
          <w:tcPr>
            <w:tcW w:w="0" w:type="auto"/>
            <w:vAlign w:val="center"/>
            <w:hideMark/>
          </w:tcPr>
          <w:p w14:paraId="49108E50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  <w:tc>
          <w:tcPr>
            <w:tcW w:w="0" w:type="auto"/>
            <w:vAlign w:val="center"/>
            <w:hideMark/>
          </w:tcPr>
          <w:p w14:paraId="1B3061E4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  <w:tc>
          <w:tcPr>
            <w:tcW w:w="0" w:type="auto"/>
            <w:vAlign w:val="center"/>
            <w:hideMark/>
          </w:tcPr>
          <w:p w14:paraId="2A281E9A" w14:textId="77777777" w:rsidR="007640B2" w:rsidRPr="007640B2" w:rsidRDefault="007640B2" w:rsidP="007640B2">
            <w:pPr>
              <w:jc w:val="center"/>
            </w:pPr>
            <w:r w:rsidRPr="007640B2">
              <w:t>Critical</w:t>
            </w:r>
          </w:p>
        </w:tc>
      </w:tr>
      <w:tr w:rsidR="007640B2" w:rsidRPr="007640B2" w14:paraId="5F0419A8" w14:textId="77777777" w:rsidTr="007640B2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4C6C64E" w14:textId="77777777" w:rsidR="007640B2" w:rsidRPr="007640B2" w:rsidRDefault="007640B2" w:rsidP="007640B2">
            <w:r w:rsidRPr="007640B2">
              <w:t>Payment Data (PCI)</w:t>
            </w:r>
          </w:p>
        </w:tc>
        <w:tc>
          <w:tcPr>
            <w:tcW w:w="0" w:type="auto"/>
            <w:vAlign w:val="center"/>
            <w:hideMark/>
          </w:tcPr>
          <w:p w14:paraId="38B27D0C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  <w:tc>
          <w:tcPr>
            <w:tcW w:w="0" w:type="auto"/>
            <w:vAlign w:val="center"/>
            <w:hideMark/>
          </w:tcPr>
          <w:p w14:paraId="3273FF9D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  <w:tc>
          <w:tcPr>
            <w:tcW w:w="0" w:type="auto"/>
            <w:vAlign w:val="center"/>
            <w:hideMark/>
          </w:tcPr>
          <w:p w14:paraId="2722041A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</w:tr>
      <w:tr w:rsidR="007640B2" w:rsidRPr="007640B2" w14:paraId="15E9A996" w14:textId="77777777" w:rsidTr="007640B2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B59356C" w14:textId="77777777" w:rsidR="007640B2" w:rsidRPr="007640B2" w:rsidRDefault="007640B2" w:rsidP="007640B2">
            <w:r w:rsidRPr="007640B2">
              <w:t>Medical Data (PHI)</w:t>
            </w:r>
          </w:p>
        </w:tc>
        <w:tc>
          <w:tcPr>
            <w:tcW w:w="0" w:type="auto"/>
            <w:vAlign w:val="center"/>
            <w:hideMark/>
          </w:tcPr>
          <w:p w14:paraId="68633F95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  <w:tc>
          <w:tcPr>
            <w:tcW w:w="0" w:type="auto"/>
            <w:vAlign w:val="center"/>
            <w:hideMark/>
          </w:tcPr>
          <w:p w14:paraId="428B1EAE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  <w:tc>
          <w:tcPr>
            <w:tcW w:w="0" w:type="auto"/>
            <w:vAlign w:val="center"/>
            <w:hideMark/>
          </w:tcPr>
          <w:p w14:paraId="6E24D419" w14:textId="77777777" w:rsidR="007640B2" w:rsidRPr="007640B2" w:rsidRDefault="007640B2" w:rsidP="007640B2">
            <w:pPr>
              <w:jc w:val="center"/>
            </w:pPr>
            <w:r w:rsidRPr="007640B2">
              <w:t>High</w:t>
            </w:r>
          </w:p>
        </w:tc>
      </w:tr>
      <w:tr w:rsidR="007640B2" w:rsidRPr="007640B2" w14:paraId="15CC968D" w14:textId="77777777" w:rsidTr="007640B2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401BA58D" w14:textId="77777777" w:rsidR="007640B2" w:rsidRPr="007640B2" w:rsidRDefault="007640B2" w:rsidP="007640B2">
            <w:r w:rsidRPr="007640B2">
              <w:t>Third-Party Processes</w:t>
            </w:r>
          </w:p>
        </w:tc>
        <w:tc>
          <w:tcPr>
            <w:tcW w:w="0" w:type="auto"/>
            <w:vAlign w:val="center"/>
            <w:hideMark/>
          </w:tcPr>
          <w:p w14:paraId="7FAAE5B0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  <w:tc>
          <w:tcPr>
            <w:tcW w:w="0" w:type="auto"/>
            <w:vAlign w:val="center"/>
            <w:hideMark/>
          </w:tcPr>
          <w:p w14:paraId="5A3A9E7A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  <w:tc>
          <w:tcPr>
            <w:tcW w:w="0" w:type="auto"/>
            <w:vAlign w:val="center"/>
            <w:hideMark/>
          </w:tcPr>
          <w:p w14:paraId="15DE8CCF" w14:textId="77777777" w:rsidR="007640B2" w:rsidRPr="007640B2" w:rsidRDefault="007640B2" w:rsidP="007640B2">
            <w:pPr>
              <w:jc w:val="center"/>
            </w:pPr>
            <w:r w:rsidRPr="007640B2">
              <w:t>Moderate</w:t>
            </w:r>
          </w:p>
        </w:tc>
      </w:tr>
      <w:tr w:rsidR="007640B2" w:rsidRPr="007640B2" w14:paraId="55832DD3" w14:textId="77777777" w:rsidTr="007640B2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4B85F49" w14:textId="77777777" w:rsidR="007640B2" w:rsidRPr="007640B2" w:rsidRDefault="007640B2" w:rsidP="007640B2">
            <w:r w:rsidRPr="007640B2">
              <w:t>Audit and Reporting</w:t>
            </w:r>
          </w:p>
        </w:tc>
        <w:tc>
          <w:tcPr>
            <w:tcW w:w="0" w:type="auto"/>
            <w:vAlign w:val="center"/>
            <w:hideMark/>
          </w:tcPr>
          <w:p w14:paraId="102C58FA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  <w:tc>
          <w:tcPr>
            <w:tcW w:w="0" w:type="auto"/>
            <w:vAlign w:val="center"/>
            <w:hideMark/>
          </w:tcPr>
          <w:p w14:paraId="105E200D" w14:textId="77777777" w:rsidR="007640B2" w:rsidRPr="007640B2" w:rsidRDefault="007640B2" w:rsidP="007640B2">
            <w:pPr>
              <w:jc w:val="center"/>
            </w:pPr>
            <w:r w:rsidRPr="007640B2">
              <w:t>Medium</w:t>
            </w:r>
          </w:p>
        </w:tc>
        <w:tc>
          <w:tcPr>
            <w:tcW w:w="0" w:type="auto"/>
            <w:vAlign w:val="center"/>
            <w:hideMark/>
          </w:tcPr>
          <w:p w14:paraId="0600532A" w14:textId="77777777" w:rsidR="007640B2" w:rsidRPr="007640B2" w:rsidRDefault="007640B2" w:rsidP="007640B2">
            <w:pPr>
              <w:jc w:val="center"/>
            </w:pPr>
            <w:r w:rsidRPr="007640B2">
              <w:t>Moderate</w:t>
            </w:r>
          </w:p>
        </w:tc>
      </w:tr>
    </w:tbl>
    <w:p w14:paraId="26CDF1C8" w14:textId="280B31F9" w:rsidR="006050BD" w:rsidRDefault="00186EAE" w:rsidP="00AC2BA1">
      <w:pPr>
        <w:pStyle w:val="Heading1"/>
      </w:pPr>
      <w:bookmarkStart w:id="5" w:name="_Toc182584976"/>
      <w:r w:rsidRPr="00186EAE">
        <w:t>Mitigation Recommendations</w:t>
      </w:r>
      <w:bookmarkEnd w:id="5"/>
      <w:r w:rsidR="006050BD">
        <w:t xml:space="preserve"> </w:t>
      </w:r>
    </w:p>
    <w:p w14:paraId="528DC16C" w14:textId="77777777" w:rsidR="007640B2" w:rsidRDefault="007640B2" w:rsidP="007640B2">
      <w:pPr>
        <w:pStyle w:val="Heading2"/>
      </w:pPr>
      <w:r>
        <w:t>Personal Data (PII)</w:t>
      </w:r>
    </w:p>
    <w:p w14:paraId="3FB50ACB" w14:textId="77777777" w:rsidR="007640B2" w:rsidRDefault="007640B2" w:rsidP="007640B2">
      <w:pPr>
        <w:pStyle w:val="ListParagraph"/>
        <w:numPr>
          <w:ilvl w:val="0"/>
          <w:numId w:val="56"/>
        </w:numPr>
      </w:pPr>
      <w:r>
        <w:t>Encrypt all sensitive personal data at rest and in transit using strong encryption protocols (e.g., AES-256).</w:t>
      </w:r>
    </w:p>
    <w:p w14:paraId="1F6BE617" w14:textId="77777777" w:rsidR="007640B2" w:rsidRDefault="007640B2" w:rsidP="007640B2">
      <w:pPr>
        <w:pStyle w:val="ListParagraph"/>
        <w:numPr>
          <w:ilvl w:val="0"/>
          <w:numId w:val="56"/>
        </w:numPr>
      </w:pPr>
      <w:r>
        <w:t>Implement access control policies to restrict access to PII to authorized personnel only.</w:t>
      </w:r>
    </w:p>
    <w:p w14:paraId="0966B9C1" w14:textId="77777777" w:rsidR="007640B2" w:rsidRDefault="007640B2" w:rsidP="007640B2">
      <w:pPr>
        <w:pStyle w:val="ListParagraph"/>
        <w:numPr>
          <w:ilvl w:val="0"/>
          <w:numId w:val="56"/>
        </w:numPr>
      </w:pPr>
      <w:r>
        <w:t>Conduct regular training for employees on handling PII in compliance with GDPR and CCPA regulations.</w:t>
      </w:r>
    </w:p>
    <w:p w14:paraId="44F0D9D6" w14:textId="77777777" w:rsidR="007640B2" w:rsidRDefault="007640B2" w:rsidP="007640B2">
      <w:pPr>
        <w:pStyle w:val="Heading2"/>
      </w:pPr>
      <w:r>
        <w:t>Payment Data (PCI)</w:t>
      </w:r>
    </w:p>
    <w:p w14:paraId="7AC8E6C7" w14:textId="77777777" w:rsidR="007640B2" w:rsidRDefault="007640B2" w:rsidP="007640B2">
      <w:pPr>
        <w:pStyle w:val="ListParagraph"/>
        <w:numPr>
          <w:ilvl w:val="0"/>
          <w:numId w:val="57"/>
        </w:numPr>
      </w:pPr>
      <w:r>
        <w:t>Enforce PCI DSS compliance by implementing secure payment gateways and regularly auditing payment systems.</w:t>
      </w:r>
    </w:p>
    <w:p w14:paraId="084A48BF" w14:textId="77777777" w:rsidR="007640B2" w:rsidRDefault="007640B2" w:rsidP="007640B2">
      <w:pPr>
        <w:pStyle w:val="ListParagraph"/>
        <w:numPr>
          <w:ilvl w:val="0"/>
          <w:numId w:val="57"/>
        </w:numPr>
      </w:pPr>
      <w:r>
        <w:t>Deploy network segmentation to isolate payment systems from non-sensitive systems.</w:t>
      </w:r>
    </w:p>
    <w:p w14:paraId="24D582F5" w14:textId="77777777" w:rsidR="007640B2" w:rsidRDefault="007640B2" w:rsidP="007640B2">
      <w:pPr>
        <w:pStyle w:val="ListParagraph"/>
        <w:numPr>
          <w:ilvl w:val="0"/>
          <w:numId w:val="57"/>
        </w:numPr>
      </w:pPr>
      <w:r>
        <w:lastRenderedPageBreak/>
        <w:t>Perform quarterly vulnerability scans and annual penetration tests on payment systems.</w:t>
      </w:r>
    </w:p>
    <w:p w14:paraId="2E0DB3FE" w14:textId="77777777" w:rsidR="007640B2" w:rsidRDefault="007640B2" w:rsidP="007640B2">
      <w:pPr>
        <w:pStyle w:val="Heading2"/>
      </w:pPr>
      <w:r>
        <w:t>Medical Data (PHI)</w:t>
      </w:r>
    </w:p>
    <w:p w14:paraId="5AAE1FD0" w14:textId="77777777" w:rsidR="007640B2" w:rsidRDefault="007640B2" w:rsidP="007640B2">
      <w:pPr>
        <w:pStyle w:val="ListParagraph"/>
        <w:numPr>
          <w:ilvl w:val="0"/>
          <w:numId w:val="58"/>
        </w:numPr>
      </w:pPr>
      <w:r>
        <w:t>Ensure compliance with HIPAA by encrypting all health-related data and securing access logs for auditability.</w:t>
      </w:r>
    </w:p>
    <w:p w14:paraId="650763F9" w14:textId="77777777" w:rsidR="007640B2" w:rsidRDefault="007640B2" w:rsidP="007640B2">
      <w:pPr>
        <w:pStyle w:val="ListParagraph"/>
        <w:numPr>
          <w:ilvl w:val="0"/>
          <w:numId w:val="58"/>
        </w:numPr>
      </w:pPr>
      <w:r>
        <w:t>Conduct regular risk assessments of systems handling PHI to identify gaps in compliance.</w:t>
      </w:r>
    </w:p>
    <w:p w14:paraId="6793397F" w14:textId="77777777" w:rsidR="007640B2" w:rsidRDefault="007640B2" w:rsidP="007640B2">
      <w:pPr>
        <w:pStyle w:val="ListParagraph"/>
        <w:numPr>
          <w:ilvl w:val="0"/>
          <w:numId w:val="58"/>
        </w:numPr>
      </w:pPr>
      <w:r>
        <w:t>Require Business Associate Agreements (BAAs) with third parties that process or store PHI.</w:t>
      </w:r>
    </w:p>
    <w:p w14:paraId="1611A883" w14:textId="77777777" w:rsidR="007640B2" w:rsidRDefault="007640B2" w:rsidP="007640B2">
      <w:pPr>
        <w:pStyle w:val="Heading2"/>
      </w:pPr>
      <w:r>
        <w:t>Third-Party Processes</w:t>
      </w:r>
    </w:p>
    <w:p w14:paraId="78FD7393" w14:textId="77777777" w:rsidR="007640B2" w:rsidRDefault="007640B2" w:rsidP="007640B2">
      <w:pPr>
        <w:pStyle w:val="ListParagraph"/>
        <w:numPr>
          <w:ilvl w:val="0"/>
          <w:numId w:val="59"/>
        </w:numPr>
      </w:pPr>
      <w:r>
        <w:t>Perform vendor risk assessments before onboarding and regularly audit third-party compliance certifications.</w:t>
      </w:r>
    </w:p>
    <w:p w14:paraId="2E47CDEF" w14:textId="77777777" w:rsidR="007640B2" w:rsidRDefault="007640B2" w:rsidP="007640B2">
      <w:pPr>
        <w:pStyle w:val="ListParagraph"/>
        <w:numPr>
          <w:ilvl w:val="0"/>
          <w:numId w:val="59"/>
        </w:numPr>
      </w:pPr>
      <w:r>
        <w:t>Include compliance clauses in vendor contracts, with penalties for non-compliance.</w:t>
      </w:r>
    </w:p>
    <w:p w14:paraId="13B4034C" w14:textId="77777777" w:rsidR="007640B2" w:rsidRDefault="007640B2" w:rsidP="007640B2">
      <w:pPr>
        <w:pStyle w:val="ListParagraph"/>
        <w:numPr>
          <w:ilvl w:val="0"/>
          <w:numId w:val="59"/>
        </w:numPr>
      </w:pPr>
      <w:r>
        <w:t>Use continuous monitoring tools to track vendor activities related to sensitive data.</w:t>
      </w:r>
    </w:p>
    <w:p w14:paraId="7BEF3A4C" w14:textId="77777777" w:rsidR="007640B2" w:rsidRDefault="007640B2" w:rsidP="007640B2">
      <w:pPr>
        <w:pStyle w:val="Heading2"/>
      </w:pPr>
      <w:r>
        <w:t>Audit and Reporting</w:t>
      </w:r>
    </w:p>
    <w:p w14:paraId="40E56667" w14:textId="77777777" w:rsidR="007640B2" w:rsidRDefault="007640B2" w:rsidP="007640B2">
      <w:pPr>
        <w:pStyle w:val="ListParagraph"/>
        <w:numPr>
          <w:ilvl w:val="0"/>
          <w:numId w:val="60"/>
        </w:numPr>
      </w:pPr>
      <w:r>
        <w:t>Implement robust logging mechanisms to capture user activities, access events, and system changes.</w:t>
      </w:r>
    </w:p>
    <w:p w14:paraId="3B9642F4" w14:textId="77777777" w:rsidR="007640B2" w:rsidRDefault="007640B2" w:rsidP="007640B2">
      <w:pPr>
        <w:pStyle w:val="ListParagraph"/>
        <w:numPr>
          <w:ilvl w:val="0"/>
          <w:numId w:val="60"/>
        </w:numPr>
      </w:pPr>
      <w:r>
        <w:t>Automate compliance reporting to ensure timely submission to regulators and internal stakeholders.</w:t>
      </w:r>
    </w:p>
    <w:p w14:paraId="182D53F4" w14:textId="0E9353B3" w:rsidR="00130B60" w:rsidRPr="00130B60" w:rsidRDefault="007640B2" w:rsidP="007640B2">
      <w:pPr>
        <w:pStyle w:val="ListParagraph"/>
        <w:numPr>
          <w:ilvl w:val="0"/>
          <w:numId w:val="60"/>
        </w:numPr>
      </w:pPr>
      <w:r>
        <w:t>Maintain audit trails for at least the minimum period required by applicable regulations (e.g., GDPR, SOX).</w:t>
      </w:r>
    </w:p>
    <w:p w14:paraId="794F6DD8" w14:textId="3342DABA" w:rsidR="00186EAE" w:rsidRPr="00186EAE" w:rsidRDefault="00186EAE" w:rsidP="00AC2BA1">
      <w:pPr>
        <w:pStyle w:val="Heading1"/>
      </w:pPr>
      <w:bookmarkStart w:id="6" w:name="_Toc182584982"/>
      <w:r w:rsidRPr="00186EAE">
        <w:t>Monitoring and Review</w:t>
      </w:r>
      <w:bookmarkEnd w:id="6"/>
    </w:p>
    <w:p w14:paraId="7735E34A" w14:textId="5EBBD183" w:rsidR="00186EAE" w:rsidRDefault="00186EAE" w:rsidP="0014054D">
      <w:bookmarkStart w:id="7" w:name="_Toc182584983"/>
      <w:r w:rsidRPr="00186EAE">
        <w:rPr>
          <w:rStyle w:val="Heading2Char"/>
        </w:rPr>
        <w:t>Frequency</w:t>
      </w:r>
      <w:bookmarkEnd w:id="7"/>
    </w:p>
    <w:p w14:paraId="1A419C29" w14:textId="1D3C78C4" w:rsidR="00D30300" w:rsidRDefault="00052BCE" w:rsidP="0014054D">
      <w:pPr>
        <w:pStyle w:val="Heading3"/>
      </w:pPr>
      <w:bookmarkStart w:id="8" w:name="_Toc182584984"/>
      <w:r w:rsidRPr="0014054D">
        <w:t>Daily</w:t>
      </w:r>
      <w:bookmarkEnd w:id="8"/>
    </w:p>
    <w:p w14:paraId="3562CB79" w14:textId="77777777" w:rsidR="007640B2" w:rsidRDefault="007640B2" w:rsidP="007640B2">
      <w:pPr>
        <w:pStyle w:val="ListParagraph"/>
        <w:numPr>
          <w:ilvl w:val="0"/>
          <w:numId w:val="51"/>
        </w:numPr>
      </w:pPr>
      <w:r>
        <w:t>Monitor access logs for PII, PHI, and payment data to detect unauthorized activities.</w:t>
      </w:r>
    </w:p>
    <w:p w14:paraId="0C8EDBDD" w14:textId="2A24BA0C" w:rsidR="00130B60" w:rsidRPr="00130B60" w:rsidRDefault="007640B2" w:rsidP="007640B2">
      <w:pPr>
        <w:pStyle w:val="ListParagraph"/>
        <w:numPr>
          <w:ilvl w:val="0"/>
          <w:numId w:val="51"/>
        </w:numPr>
      </w:pPr>
      <w:r>
        <w:t>Validate alerts from security tools to ensure they align with regulatory requirements.</w:t>
      </w:r>
    </w:p>
    <w:p w14:paraId="008391A5" w14:textId="2528689A" w:rsidR="00AC0A86" w:rsidRDefault="00AC0A86" w:rsidP="0014054D">
      <w:pPr>
        <w:pStyle w:val="Heading3"/>
      </w:pPr>
      <w:bookmarkStart w:id="9" w:name="_Toc182584985"/>
      <w:r w:rsidRPr="0014054D">
        <w:t>Monthly</w:t>
      </w:r>
      <w:bookmarkEnd w:id="9"/>
    </w:p>
    <w:p w14:paraId="14C32A12" w14:textId="77777777" w:rsidR="007640B2" w:rsidRDefault="007640B2" w:rsidP="007640B2">
      <w:pPr>
        <w:pStyle w:val="ListParagraph"/>
        <w:numPr>
          <w:ilvl w:val="0"/>
          <w:numId w:val="52"/>
        </w:numPr>
      </w:pPr>
      <w:r>
        <w:t>Audit compliance with access control policies and ensure encryption is enabled across all sensitive data repositories.</w:t>
      </w:r>
    </w:p>
    <w:p w14:paraId="63F946E3" w14:textId="1E31B6B4" w:rsidR="00130B60" w:rsidRPr="00130B60" w:rsidRDefault="007640B2" w:rsidP="007640B2">
      <w:pPr>
        <w:pStyle w:val="ListParagraph"/>
        <w:numPr>
          <w:ilvl w:val="0"/>
          <w:numId w:val="52"/>
        </w:numPr>
      </w:pPr>
      <w:r>
        <w:lastRenderedPageBreak/>
        <w:t>Review third-party reports and certifications to verify ongoing adherence to compliance standards.</w:t>
      </w:r>
    </w:p>
    <w:p w14:paraId="52771B9D" w14:textId="121CD2E5" w:rsidR="00AC0A86" w:rsidRDefault="00AC0A86" w:rsidP="0014054D">
      <w:pPr>
        <w:pStyle w:val="Heading3"/>
      </w:pPr>
      <w:bookmarkStart w:id="10" w:name="_Toc182584986"/>
      <w:r w:rsidRPr="0014054D">
        <w:t>Quarterly</w:t>
      </w:r>
      <w:bookmarkEnd w:id="10"/>
    </w:p>
    <w:p w14:paraId="671AFA22" w14:textId="77777777" w:rsidR="007640B2" w:rsidRDefault="007640B2" w:rsidP="007640B2">
      <w:pPr>
        <w:pStyle w:val="ListParagraph"/>
        <w:numPr>
          <w:ilvl w:val="0"/>
          <w:numId w:val="53"/>
        </w:numPr>
      </w:pPr>
      <w:r>
        <w:t>Conduct internal compliance audits to ensure adherence to GDPR, HIPAA, PCI DSS, and other applicable regulations.</w:t>
      </w:r>
    </w:p>
    <w:p w14:paraId="10FAD7E6" w14:textId="77777777" w:rsidR="007640B2" w:rsidRDefault="007640B2" w:rsidP="007640B2">
      <w:pPr>
        <w:pStyle w:val="ListParagraph"/>
        <w:numPr>
          <w:ilvl w:val="0"/>
          <w:numId w:val="53"/>
        </w:numPr>
      </w:pPr>
      <w:r>
        <w:t>Review audit logs for anomalies and ensure secure storage for audit trails.</w:t>
      </w:r>
    </w:p>
    <w:p w14:paraId="586CF1EE" w14:textId="02395B77" w:rsidR="00130B60" w:rsidRPr="00130B60" w:rsidRDefault="007640B2" w:rsidP="007640B2">
      <w:pPr>
        <w:pStyle w:val="ListParagraph"/>
        <w:numPr>
          <w:ilvl w:val="0"/>
          <w:numId w:val="53"/>
        </w:numPr>
      </w:pPr>
      <w:r>
        <w:t>Test the effectiveness of compliance controls using simulated data handling exercises.</w:t>
      </w:r>
    </w:p>
    <w:p w14:paraId="4F7FDD3C" w14:textId="03FE7DE4" w:rsidR="00AC2BA1" w:rsidRDefault="00AC0A86" w:rsidP="006050BD">
      <w:pPr>
        <w:pStyle w:val="Heading3"/>
      </w:pPr>
      <w:bookmarkStart w:id="11" w:name="_Toc182584987"/>
      <w:r w:rsidRPr="0014054D">
        <w:t>Bi-Annually</w:t>
      </w:r>
      <w:bookmarkEnd w:id="11"/>
      <w:r w:rsidRPr="00AC0A86">
        <w:t xml:space="preserve"> </w:t>
      </w:r>
    </w:p>
    <w:p w14:paraId="1C466EA4" w14:textId="77777777" w:rsidR="007640B2" w:rsidRDefault="007640B2" w:rsidP="007640B2">
      <w:pPr>
        <w:pStyle w:val="ListParagraph"/>
        <w:numPr>
          <w:ilvl w:val="0"/>
          <w:numId w:val="54"/>
        </w:numPr>
      </w:pPr>
      <w:r>
        <w:t>Perform regulatory readiness drills, focusing on GDPR, HIPAA, or PCI DSS-specific scenarios.</w:t>
      </w:r>
    </w:p>
    <w:p w14:paraId="4368D27A" w14:textId="550F3C61" w:rsidR="00130B60" w:rsidRPr="00130B60" w:rsidRDefault="007640B2" w:rsidP="007640B2">
      <w:pPr>
        <w:pStyle w:val="ListParagraph"/>
        <w:numPr>
          <w:ilvl w:val="0"/>
          <w:numId w:val="54"/>
        </w:numPr>
      </w:pPr>
      <w:r>
        <w:t>Evaluate the effectiveness of compliance-related tools (e.g., DLP, access control systems) through simulations.</w:t>
      </w:r>
    </w:p>
    <w:p w14:paraId="3DC40724" w14:textId="553040C9" w:rsidR="00AC2BA1" w:rsidRDefault="00AC0A86" w:rsidP="006050BD">
      <w:pPr>
        <w:pStyle w:val="Heading3"/>
      </w:pPr>
      <w:bookmarkStart w:id="12" w:name="_Toc182584988"/>
      <w:r w:rsidRPr="0014054D">
        <w:t>Annually</w:t>
      </w:r>
      <w:bookmarkEnd w:id="12"/>
      <w:r w:rsidRPr="00AC0A86">
        <w:t xml:space="preserve"> </w:t>
      </w:r>
    </w:p>
    <w:p w14:paraId="3201A39D" w14:textId="77777777" w:rsidR="007640B2" w:rsidRDefault="007640B2" w:rsidP="007640B2">
      <w:pPr>
        <w:pStyle w:val="ListParagraph"/>
        <w:numPr>
          <w:ilvl w:val="0"/>
          <w:numId w:val="55"/>
        </w:numPr>
      </w:pPr>
      <w:r>
        <w:t>Reassess compliance risks based on new regulatory requirements, industry standards, or internal process changes.</w:t>
      </w:r>
    </w:p>
    <w:p w14:paraId="03EE799B" w14:textId="77777777" w:rsidR="007640B2" w:rsidRDefault="007640B2" w:rsidP="007640B2">
      <w:pPr>
        <w:pStyle w:val="ListParagraph"/>
        <w:numPr>
          <w:ilvl w:val="0"/>
          <w:numId w:val="55"/>
        </w:numPr>
      </w:pPr>
      <w:r>
        <w:t>Update compliance policies and employee training programs to reflect changes in regulatory expectations.</w:t>
      </w:r>
    </w:p>
    <w:p w14:paraId="670B12CD" w14:textId="6EBBF24B" w:rsidR="00130B60" w:rsidRPr="00130B60" w:rsidRDefault="007640B2" w:rsidP="007640B2">
      <w:pPr>
        <w:pStyle w:val="ListParagraph"/>
        <w:numPr>
          <w:ilvl w:val="0"/>
          <w:numId w:val="55"/>
        </w:numPr>
      </w:pPr>
      <w:r>
        <w:t>Conduct a compliance awareness campaign to educate employees and stakeholders about regulatory obligations.</w:t>
      </w:r>
    </w:p>
    <w:p w14:paraId="70DCA56E" w14:textId="7A8FCE77" w:rsidR="008F17E0" w:rsidRDefault="00420487" w:rsidP="008F17E0">
      <w:pPr>
        <w:rPr>
          <w:rStyle w:val="Heading2Char"/>
        </w:rPr>
      </w:pPr>
      <w:bookmarkStart w:id="13" w:name="_Toc182584989"/>
      <w:r w:rsidRPr="00420487">
        <w:rPr>
          <w:rStyle w:val="Heading2Char"/>
        </w:rPr>
        <w:t>Incident Response</w:t>
      </w:r>
      <w:bookmarkEnd w:id="13"/>
      <w:r w:rsidR="008F17E0">
        <w:rPr>
          <w:rStyle w:val="Heading2Char"/>
        </w:rPr>
        <w:t xml:space="preserve"> </w:t>
      </w:r>
    </w:p>
    <w:p w14:paraId="5C9EADEF" w14:textId="77777777" w:rsidR="006032E2" w:rsidRDefault="006032E2" w:rsidP="006032E2">
      <w:pPr>
        <w:pStyle w:val="ListParagraph"/>
        <w:numPr>
          <w:ilvl w:val="0"/>
          <w:numId w:val="55"/>
        </w:numPr>
      </w:pPr>
      <w:r>
        <w:t>Establish a Compliance Incident Response Team (CIRT) trained to address violations and data breaches.</w:t>
      </w:r>
    </w:p>
    <w:p w14:paraId="4E839DBD" w14:textId="77777777" w:rsidR="006032E2" w:rsidRDefault="006032E2" w:rsidP="006032E2">
      <w:pPr>
        <w:pStyle w:val="ListParagraph"/>
        <w:numPr>
          <w:ilvl w:val="0"/>
          <w:numId w:val="55"/>
        </w:numPr>
      </w:pPr>
      <w:r>
        <w:t>Conduct annual response drills, focusing on regulatory breach notification requirements.</w:t>
      </w:r>
    </w:p>
    <w:p w14:paraId="516D20C2" w14:textId="2A47356D" w:rsidR="00130B60" w:rsidRPr="00130B60" w:rsidRDefault="006032E2" w:rsidP="006032E2">
      <w:pPr>
        <w:pStyle w:val="ListParagraph"/>
        <w:numPr>
          <w:ilvl w:val="0"/>
          <w:numId w:val="55"/>
        </w:numPr>
      </w:pPr>
      <w:r>
        <w:t>Document all compliance-related incidents, including root causes, remediation actions, and regulatory reports.</w:t>
      </w:r>
    </w:p>
    <w:p w14:paraId="364CACCE" w14:textId="79205C8C" w:rsidR="00E65466" w:rsidRDefault="00420487" w:rsidP="00D30300">
      <w:pPr>
        <w:rPr>
          <w:rStyle w:val="Heading2Char"/>
        </w:rPr>
      </w:pPr>
      <w:bookmarkStart w:id="14" w:name="_Toc182584990"/>
      <w:r w:rsidRPr="00420487">
        <w:rPr>
          <w:rStyle w:val="Heading2Char"/>
        </w:rPr>
        <w:t>Documentation and Compliance</w:t>
      </w:r>
      <w:bookmarkEnd w:id="14"/>
      <w:r w:rsidR="00130B60">
        <w:rPr>
          <w:rStyle w:val="Heading2Char"/>
        </w:rPr>
        <w:t xml:space="preserve"> </w:t>
      </w:r>
    </w:p>
    <w:p w14:paraId="78AEBAB2" w14:textId="77777777" w:rsidR="005B3B6B" w:rsidRDefault="005B3B6B" w:rsidP="005B3B6B">
      <w:pPr>
        <w:pStyle w:val="ListParagraph"/>
        <w:numPr>
          <w:ilvl w:val="0"/>
          <w:numId w:val="62"/>
        </w:numPr>
      </w:pPr>
      <w:r>
        <w:t>Maintain detailed logs of compliance activities, including audits, training, and vendor assessments.</w:t>
      </w:r>
    </w:p>
    <w:p w14:paraId="623D4742" w14:textId="77777777" w:rsidR="005B3B6B" w:rsidRDefault="005B3B6B" w:rsidP="005B3B6B">
      <w:pPr>
        <w:pStyle w:val="ListParagraph"/>
        <w:numPr>
          <w:ilvl w:val="0"/>
          <w:numId w:val="62"/>
        </w:numPr>
      </w:pPr>
      <w:r>
        <w:t>Document updates to policies, access controls, and encryption mechanisms to demonstrate continuous improvement.</w:t>
      </w:r>
    </w:p>
    <w:p w14:paraId="63E38DE9" w14:textId="77777777" w:rsidR="005B3B6B" w:rsidRDefault="005B3B6B" w:rsidP="005B3B6B">
      <w:pPr>
        <w:pStyle w:val="ListParagraph"/>
        <w:numPr>
          <w:ilvl w:val="0"/>
          <w:numId w:val="62"/>
        </w:numPr>
      </w:pPr>
      <w:r>
        <w:lastRenderedPageBreak/>
        <w:t>Ensure compliance with applicable regulations and standards, including:</w:t>
      </w:r>
    </w:p>
    <w:p w14:paraId="2BC802CE" w14:textId="77777777" w:rsidR="005B3B6B" w:rsidRDefault="005B3B6B" w:rsidP="005B3B6B">
      <w:pPr>
        <w:pStyle w:val="ListParagraph"/>
        <w:numPr>
          <w:ilvl w:val="1"/>
          <w:numId w:val="62"/>
        </w:numPr>
      </w:pPr>
      <w:r>
        <w:t>NIST SP 800-53: AC-17 (Remote Access), SI-4 (Monitoring), and AU-12 (Audit Generation).</w:t>
      </w:r>
    </w:p>
    <w:p w14:paraId="2598B024" w14:textId="3320668A" w:rsidR="00130B60" w:rsidRPr="00130B60" w:rsidRDefault="005B3B6B" w:rsidP="005B3B6B">
      <w:pPr>
        <w:pStyle w:val="ListParagraph"/>
        <w:numPr>
          <w:ilvl w:val="1"/>
          <w:numId w:val="62"/>
        </w:numPr>
      </w:pPr>
      <w:r>
        <w:t>GDPR, HIPAA, PCI DSS, and ISO 27001 for specific data protection and audit requirements.</w:t>
      </w:r>
    </w:p>
    <w:sectPr w:rsidR="00130B60" w:rsidRPr="00130B60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E5CB1" w14:textId="77777777" w:rsidR="00B50386" w:rsidRDefault="00B50386" w:rsidP="002100DD">
      <w:pPr>
        <w:spacing w:after="0" w:line="240" w:lineRule="auto"/>
      </w:pPr>
      <w:r>
        <w:separator/>
      </w:r>
    </w:p>
  </w:endnote>
  <w:endnote w:type="continuationSeparator" w:id="0">
    <w:p w14:paraId="43AF6253" w14:textId="77777777" w:rsidR="00B50386" w:rsidRDefault="00B50386" w:rsidP="0021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E5EE" w14:textId="77777777" w:rsidR="002100DD" w:rsidRDefault="0021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942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533EF" w14:textId="7BDDFEA7" w:rsidR="002100DD" w:rsidRDefault="00210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7C16D" w14:textId="77777777" w:rsidR="002100DD" w:rsidRDefault="0021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0ADC1" w14:textId="77777777" w:rsidR="002100DD" w:rsidRDefault="0021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21117" w14:textId="77777777" w:rsidR="00B50386" w:rsidRDefault="00B50386" w:rsidP="002100DD">
      <w:pPr>
        <w:spacing w:after="0" w:line="240" w:lineRule="auto"/>
      </w:pPr>
      <w:r>
        <w:separator/>
      </w:r>
    </w:p>
  </w:footnote>
  <w:footnote w:type="continuationSeparator" w:id="0">
    <w:p w14:paraId="5E3BBA07" w14:textId="77777777" w:rsidR="00B50386" w:rsidRDefault="00B50386" w:rsidP="0021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392C4" w14:textId="77777777" w:rsidR="002100DD" w:rsidRDefault="0021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B341E" w14:textId="77777777" w:rsidR="002100DD" w:rsidRDefault="00210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E569B" w14:textId="77777777" w:rsidR="002100DD" w:rsidRDefault="00210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614"/>
    <w:multiLevelType w:val="hybridMultilevel"/>
    <w:tmpl w:val="552C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80E"/>
    <w:multiLevelType w:val="hybridMultilevel"/>
    <w:tmpl w:val="68D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9B3"/>
    <w:multiLevelType w:val="hybridMultilevel"/>
    <w:tmpl w:val="77F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E257D"/>
    <w:multiLevelType w:val="hybridMultilevel"/>
    <w:tmpl w:val="D0A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C2157"/>
    <w:multiLevelType w:val="hybridMultilevel"/>
    <w:tmpl w:val="9A2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02532"/>
    <w:multiLevelType w:val="hybridMultilevel"/>
    <w:tmpl w:val="3A1A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32E1A"/>
    <w:multiLevelType w:val="hybridMultilevel"/>
    <w:tmpl w:val="9394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4C29"/>
    <w:multiLevelType w:val="hybridMultilevel"/>
    <w:tmpl w:val="185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A1E0A"/>
    <w:multiLevelType w:val="hybridMultilevel"/>
    <w:tmpl w:val="1BE0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92018"/>
    <w:multiLevelType w:val="hybridMultilevel"/>
    <w:tmpl w:val="C9C6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76537"/>
    <w:multiLevelType w:val="hybridMultilevel"/>
    <w:tmpl w:val="52B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C2040"/>
    <w:multiLevelType w:val="hybridMultilevel"/>
    <w:tmpl w:val="CE34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76756"/>
    <w:multiLevelType w:val="hybridMultilevel"/>
    <w:tmpl w:val="15EE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11108"/>
    <w:multiLevelType w:val="multilevel"/>
    <w:tmpl w:val="465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B6165"/>
    <w:multiLevelType w:val="hybridMultilevel"/>
    <w:tmpl w:val="7674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A390F"/>
    <w:multiLevelType w:val="hybridMultilevel"/>
    <w:tmpl w:val="6C36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E0932"/>
    <w:multiLevelType w:val="hybridMultilevel"/>
    <w:tmpl w:val="0DD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17DC4"/>
    <w:multiLevelType w:val="hybridMultilevel"/>
    <w:tmpl w:val="1DAE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702A2"/>
    <w:multiLevelType w:val="multilevel"/>
    <w:tmpl w:val="4A0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F37D5"/>
    <w:multiLevelType w:val="hybridMultilevel"/>
    <w:tmpl w:val="248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90F73"/>
    <w:multiLevelType w:val="hybridMultilevel"/>
    <w:tmpl w:val="A05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E40DC"/>
    <w:multiLevelType w:val="multilevel"/>
    <w:tmpl w:val="D5F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260F9"/>
    <w:multiLevelType w:val="hybridMultilevel"/>
    <w:tmpl w:val="07D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452F1"/>
    <w:multiLevelType w:val="hybridMultilevel"/>
    <w:tmpl w:val="67F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797CC8"/>
    <w:multiLevelType w:val="hybridMultilevel"/>
    <w:tmpl w:val="9AE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00006"/>
    <w:multiLevelType w:val="hybridMultilevel"/>
    <w:tmpl w:val="079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F55F2D"/>
    <w:multiLevelType w:val="hybridMultilevel"/>
    <w:tmpl w:val="1BC6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691970"/>
    <w:multiLevelType w:val="hybridMultilevel"/>
    <w:tmpl w:val="4C1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E0462"/>
    <w:multiLevelType w:val="hybridMultilevel"/>
    <w:tmpl w:val="90C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C5155"/>
    <w:multiLevelType w:val="multilevel"/>
    <w:tmpl w:val="BC3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975C1"/>
    <w:multiLevelType w:val="hybridMultilevel"/>
    <w:tmpl w:val="642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644F4"/>
    <w:multiLevelType w:val="hybridMultilevel"/>
    <w:tmpl w:val="2D5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962253"/>
    <w:multiLevelType w:val="multilevel"/>
    <w:tmpl w:val="0F1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64508B"/>
    <w:multiLevelType w:val="hybridMultilevel"/>
    <w:tmpl w:val="38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042147"/>
    <w:multiLevelType w:val="hybridMultilevel"/>
    <w:tmpl w:val="91C6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3719BC"/>
    <w:multiLevelType w:val="multilevel"/>
    <w:tmpl w:val="D08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332F4C"/>
    <w:multiLevelType w:val="multilevel"/>
    <w:tmpl w:val="6E7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126529"/>
    <w:multiLevelType w:val="hybridMultilevel"/>
    <w:tmpl w:val="5D4A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5B2B07"/>
    <w:multiLevelType w:val="hybridMultilevel"/>
    <w:tmpl w:val="DC2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A4C48"/>
    <w:multiLevelType w:val="multilevel"/>
    <w:tmpl w:val="3A1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9918DC"/>
    <w:multiLevelType w:val="hybridMultilevel"/>
    <w:tmpl w:val="D170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2E7741"/>
    <w:multiLevelType w:val="hybridMultilevel"/>
    <w:tmpl w:val="A24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856413"/>
    <w:multiLevelType w:val="hybridMultilevel"/>
    <w:tmpl w:val="EC20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55537E"/>
    <w:multiLevelType w:val="hybridMultilevel"/>
    <w:tmpl w:val="9D00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3B744F"/>
    <w:multiLevelType w:val="hybridMultilevel"/>
    <w:tmpl w:val="AA0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8F1D42"/>
    <w:multiLevelType w:val="hybridMultilevel"/>
    <w:tmpl w:val="23D4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2C2B82"/>
    <w:multiLevelType w:val="multilevel"/>
    <w:tmpl w:val="A43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592A30"/>
    <w:multiLevelType w:val="hybridMultilevel"/>
    <w:tmpl w:val="63AC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626FF"/>
    <w:multiLevelType w:val="hybridMultilevel"/>
    <w:tmpl w:val="9D9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74730"/>
    <w:multiLevelType w:val="hybridMultilevel"/>
    <w:tmpl w:val="A4E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310D9C"/>
    <w:multiLevelType w:val="hybridMultilevel"/>
    <w:tmpl w:val="AC82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540858"/>
    <w:multiLevelType w:val="hybridMultilevel"/>
    <w:tmpl w:val="B7B6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C2CA8"/>
    <w:multiLevelType w:val="hybridMultilevel"/>
    <w:tmpl w:val="C130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C56F4C"/>
    <w:multiLevelType w:val="hybridMultilevel"/>
    <w:tmpl w:val="1F9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8A3EF1"/>
    <w:multiLevelType w:val="multilevel"/>
    <w:tmpl w:val="BDC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0367A"/>
    <w:multiLevelType w:val="hybridMultilevel"/>
    <w:tmpl w:val="4140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30078C"/>
    <w:multiLevelType w:val="hybridMultilevel"/>
    <w:tmpl w:val="87F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235C5"/>
    <w:multiLevelType w:val="hybridMultilevel"/>
    <w:tmpl w:val="14CA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CE5FC2"/>
    <w:multiLevelType w:val="hybridMultilevel"/>
    <w:tmpl w:val="C97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3D3A79"/>
    <w:multiLevelType w:val="hybridMultilevel"/>
    <w:tmpl w:val="E21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5D7D2A"/>
    <w:multiLevelType w:val="hybridMultilevel"/>
    <w:tmpl w:val="0B6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AD0649"/>
    <w:multiLevelType w:val="hybridMultilevel"/>
    <w:tmpl w:val="77E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0663">
    <w:abstractNumId w:val="7"/>
  </w:num>
  <w:num w:numId="2" w16cid:durableId="350883095">
    <w:abstractNumId w:val="44"/>
  </w:num>
  <w:num w:numId="3" w16cid:durableId="1844776243">
    <w:abstractNumId w:val="5"/>
  </w:num>
  <w:num w:numId="4" w16cid:durableId="1824855155">
    <w:abstractNumId w:val="30"/>
  </w:num>
  <w:num w:numId="5" w16cid:durableId="1347437988">
    <w:abstractNumId w:val="55"/>
  </w:num>
  <w:num w:numId="6" w16cid:durableId="1677807839">
    <w:abstractNumId w:val="42"/>
  </w:num>
  <w:num w:numId="7" w16cid:durableId="1046946883">
    <w:abstractNumId w:val="48"/>
  </w:num>
  <w:num w:numId="8" w16cid:durableId="689574181">
    <w:abstractNumId w:val="58"/>
  </w:num>
  <w:num w:numId="9" w16cid:durableId="1284774773">
    <w:abstractNumId w:val="61"/>
  </w:num>
  <w:num w:numId="10" w16cid:durableId="809323454">
    <w:abstractNumId w:val="60"/>
  </w:num>
  <w:num w:numId="11" w16cid:durableId="2120635786">
    <w:abstractNumId w:val="33"/>
  </w:num>
  <w:num w:numId="12" w16cid:durableId="499080303">
    <w:abstractNumId w:val="38"/>
  </w:num>
  <w:num w:numId="13" w16cid:durableId="533923744">
    <w:abstractNumId w:val="54"/>
  </w:num>
  <w:num w:numId="14" w16cid:durableId="589195225">
    <w:abstractNumId w:val="21"/>
  </w:num>
  <w:num w:numId="15" w16cid:durableId="2142109796">
    <w:abstractNumId w:val="32"/>
  </w:num>
  <w:num w:numId="16" w16cid:durableId="1341275408">
    <w:abstractNumId w:val="18"/>
  </w:num>
  <w:num w:numId="17" w16cid:durableId="237836304">
    <w:abstractNumId w:val="29"/>
  </w:num>
  <w:num w:numId="18" w16cid:durableId="394280755">
    <w:abstractNumId w:val="45"/>
  </w:num>
  <w:num w:numId="19" w16cid:durableId="973874817">
    <w:abstractNumId w:val="41"/>
  </w:num>
  <w:num w:numId="20" w16cid:durableId="928345071">
    <w:abstractNumId w:val="6"/>
  </w:num>
  <w:num w:numId="21" w16cid:durableId="193931000">
    <w:abstractNumId w:val="14"/>
  </w:num>
  <w:num w:numId="22" w16cid:durableId="2129159327">
    <w:abstractNumId w:val="2"/>
  </w:num>
  <w:num w:numId="23" w16cid:durableId="1350529344">
    <w:abstractNumId w:val="49"/>
  </w:num>
  <w:num w:numId="24" w16cid:durableId="547227569">
    <w:abstractNumId w:val="22"/>
  </w:num>
  <w:num w:numId="25" w16cid:durableId="1000084459">
    <w:abstractNumId w:val="31"/>
  </w:num>
  <w:num w:numId="26" w16cid:durableId="1176187447">
    <w:abstractNumId w:val="19"/>
  </w:num>
  <w:num w:numId="27" w16cid:durableId="1161848388">
    <w:abstractNumId w:val="12"/>
  </w:num>
  <w:num w:numId="28" w16cid:durableId="1604804264">
    <w:abstractNumId w:val="16"/>
  </w:num>
  <w:num w:numId="29" w16cid:durableId="1967546342">
    <w:abstractNumId w:val="13"/>
  </w:num>
  <w:num w:numId="30" w16cid:durableId="1746414883">
    <w:abstractNumId w:val="39"/>
  </w:num>
  <w:num w:numId="31" w16cid:durableId="1025715868">
    <w:abstractNumId w:val="35"/>
  </w:num>
  <w:num w:numId="32" w16cid:durableId="1709138972">
    <w:abstractNumId w:val="36"/>
  </w:num>
  <w:num w:numId="33" w16cid:durableId="1708750530">
    <w:abstractNumId w:val="46"/>
  </w:num>
  <w:num w:numId="34" w16cid:durableId="120417431">
    <w:abstractNumId w:val="17"/>
  </w:num>
  <w:num w:numId="35" w16cid:durableId="78911512">
    <w:abstractNumId w:val="4"/>
  </w:num>
  <w:num w:numId="36" w16cid:durableId="2047947729">
    <w:abstractNumId w:val="8"/>
  </w:num>
  <w:num w:numId="37" w16cid:durableId="946499421">
    <w:abstractNumId w:val="10"/>
  </w:num>
  <w:num w:numId="38" w16cid:durableId="1357076693">
    <w:abstractNumId w:val="23"/>
  </w:num>
  <w:num w:numId="39" w16cid:durableId="877008913">
    <w:abstractNumId w:val="56"/>
  </w:num>
  <w:num w:numId="40" w16cid:durableId="1278637518">
    <w:abstractNumId w:val="27"/>
  </w:num>
  <w:num w:numId="41" w16cid:durableId="1683048956">
    <w:abstractNumId w:val="59"/>
  </w:num>
  <w:num w:numId="42" w16cid:durableId="1764911118">
    <w:abstractNumId w:val="24"/>
  </w:num>
  <w:num w:numId="43" w16cid:durableId="1290362385">
    <w:abstractNumId w:val="3"/>
  </w:num>
  <w:num w:numId="44" w16cid:durableId="462314567">
    <w:abstractNumId w:val="34"/>
  </w:num>
  <w:num w:numId="45" w16cid:durableId="1091466940">
    <w:abstractNumId w:val="53"/>
  </w:num>
  <w:num w:numId="46" w16cid:durableId="1687906444">
    <w:abstractNumId w:val="0"/>
  </w:num>
  <w:num w:numId="47" w16cid:durableId="1341129165">
    <w:abstractNumId w:val="40"/>
  </w:num>
  <w:num w:numId="48" w16cid:durableId="631209409">
    <w:abstractNumId w:val="25"/>
  </w:num>
  <w:num w:numId="49" w16cid:durableId="1242254151">
    <w:abstractNumId w:val="26"/>
  </w:num>
  <w:num w:numId="50" w16cid:durableId="920990910">
    <w:abstractNumId w:val="20"/>
  </w:num>
  <w:num w:numId="51" w16cid:durableId="1638561490">
    <w:abstractNumId w:val="11"/>
  </w:num>
  <w:num w:numId="52" w16cid:durableId="1954239803">
    <w:abstractNumId w:val="57"/>
  </w:num>
  <w:num w:numId="53" w16cid:durableId="491063241">
    <w:abstractNumId w:val="47"/>
  </w:num>
  <w:num w:numId="54" w16cid:durableId="2073236269">
    <w:abstractNumId w:val="37"/>
  </w:num>
  <w:num w:numId="55" w16cid:durableId="1741979318">
    <w:abstractNumId w:val="52"/>
  </w:num>
  <w:num w:numId="56" w16cid:durableId="273833057">
    <w:abstractNumId w:val="28"/>
  </w:num>
  <w:num w:numId="57" w16cid:durableId="1008603592">
    <w:abstractNumId w:val="50"/>
  </w:num>
  <w:num w:numId="58" w16cid:durableId="1804033590">
    <w:abstractNumId w:val="9"/>
  </w:num>
  <w:num w:numId="59" w16cid:durableId="296302821">
    <w:abstractNumId w:val="51"/>
  </w:num>
  <w:num w:numId="60" w16cid:durableId="1533835847">
    <w:abstractNumId w:val="43"/>
  </w:num>
  <w:num w:numId="61" w16cid:durableId="1958557223">
    <w:abstractNumId w:val="15"/>
  </w:num>
  <w:num w:numId="62" w16cid:durableId="158036529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52BCE"/>
    <w:rsid w:val="00056109"/>
    <w:rsid w:val="00073FD1"/>
    <w:rsid w:val="0009326F"/>
    <w:rsid w:val="00130B60"/>
    <w:rsid w:val="0014054D"/>
    <w:rsid w:val="00142529"/>
    <w:rsid w:val="001539FA"/>
    <w:rsid w:val="00185631"/>
    <w:rsid w:val="00186EAE"/>
    <w:rsid w:val="002100DD"/>
    <w:rsid w:val="002247EF"/>
    <w:rsid w:val="003662F2"/>
    <w:rsid w:val="00375403"/>
    <w:rsid w:val="00400CB6"/>
    <w:rsid w:val="00420487"/>
    <w:rsid w:val="00445D24"/>
    <w:rsid w:val="00484CDE"/>
    <w:rsid w:val="004A4508"/>
    <w:rsid w:val="004B693C"/>
    <w:rsid w:val="004E6A97"/>
    <w:rsid w:val="00501CC2"/>
    <w:rsid w:val="0051770C"/>
    <w:rsid w:val="00574111"/>
    <w:rsid w:val="00577352"/>
    <w:rsid w:val="00583C9F"/>
    <w:rsid w:val="005B3B6B"/>
    <w:rsid w:val="005F3D5A"/>
    <w:rsid w:val="006032E2"/>
    <w:rsid w:val="006050BD"/>
    <w:rsid w:val="006178E5"/>
    <w:rsid w:val="00644920"/>
    <w:rsid w:val="006A3537"/>
    <w:rsid w:val="006C71D8"/>
    <w:rsid w:val="007335CC"/>
    <w:rsid w:val="00735725"/>
    <w:rsid w:val="00762573"/>
    <w:rsid w:val="007640B2"/>
    <w:rsid w:val="007779DB"/>
    <w:rsid w:val="0078672E"/>
    <w:rsid w:val="007F74BC"/>
    <w:rsid w:val="0084014D"/>
    <w:rsid w:val="008B419B"/>
    <w:rsid w:val="008F17E0"/>
    <w:rsid w:val="00912ACB"/>
    <w:rsid w:val="0094670D"/>
    <w:rsid w:val="0095092E"/>
    <w:rsid w:val="009573DD"/>
    <w:rsid w:val="00973E7F"/>
    <w:rsid w:val="009A0740"/>
    <w:rsid w:val="009C1C06"/>
    <w:rsid w:val="009C7D06"/>
    <w:rsid w:val="009D34FF"/>
    <w:rsid w:val="009E6CA2"/>
    <w:rsid w:val="009F3B3F"/>
    <w:rsid w:val="00A368D6"/>
    <w:rsid w:val="00AC0A86"/>
    <w:rsid w:val="00AC2BA1"/>
    <w:rsid w:val="00AF3770"/>
    <w:rsid w:val="00B50386"/>
    <w:rsid w:val="00B559FF"/>
    <w:rsid w:val="00BC6C7E"/>
    <w:rsid w:val="00C908BE"/>
    <w:rsid w:val="00C96F4E"/>
    <w:rsid w:val="00CD2373"/>
    <w:rsid w:val="00D1318A"/>
    <w:rsid w:val="00D30300"/>
    <w:rsid w:val="00D53CF6"/>
    <w:rsid w:val="00D5677A"/>
    <w:rsid w:val="00D90BC7"/>
    <w:rsid w:val="00DA65F2"/>
    <w:rsid w:val="00DB684D"/>
    <w:rsid w:val="00DF0AE9"/>
    <w:rsid w:val="00DF7A5C"/>
    <w:rsid w:val="00E65466"/>
    <w:rsid w:val="00E779D1"/>
    <w:rsid w:val="00E93098"/>
    <w:rsid w:val="00F001A2"/>
    <w:rsid w:val="00F04ED0"/>
    <w:rsid w:val="00F568D7"/>
    <w:rsid w:val="00F8476B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irstmt-0">
    <w:name w:val="first:mt-0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FD1"/>
    <w:rPr>
      <w:b/>
      <w:bCs/>
    </w:rPr>
  </w:style>
  <w:style w:type="character" w:customStyle="1" w:styleId="flex">
    <w:name w:val="flex"/>
    <w:basedOn w:val="DefaultParagraphFont"/>
    <w:rsid w:val="00073FD1"/>
  </w:style>
  <w:style w:type="character" w:styleId="Emphasis">
    <w:name w:val="Emphasis"/>
    <w:basedOn w:val="DefaultParagraphFont"/>
    <w:uiPriority w:val="20"/>
    <w:qFormat/>
    <w:rsid w:val="00073FD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73FD1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D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5092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DD"/>
  </w:style>
  <w:style w:type="paragraph" w:styleId="Footer">
    <w:name w:val="footer"/>
    <w:basedOn w:val="Normal"/>
    <w:link w:val="Foot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6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7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4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9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2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8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– Unsecured Devices Risks</vt:lpstr>
    </vt:vector>
  </TitlesOfParts>
  <Company>My Company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– Compliance Risks</dc:title>
  <dc:subject/>
  <dc:creator>Rick Abraham</dc:creator>
  <cp:keywords/>
  <dc:description/>
  <cp:lastModifiedBy>Rick Abraham</cp:lastModifiedBy>
  <cp:revision>4</cp:revision>
  <dcterms:created xsi:type="dcterms:W3CDTF">2024-11-15T23:52:00Z</dcterms:created>
  <dcterms:modified xsi:type="dcterms:W3CDTF">2024-11-16T00:02:00Z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