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3B1E592F" w:rsidR="00186EAE" w:rsidRDefault="00F04ED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04ED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Third-Party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3B1E592F" w:rsidR="00186EAE" w:rsidRDefault="00F04ED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F04ED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Third-Party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161BB77A" w14:textId="3CE418E1" w:rsidR="004B693C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2686" w:history="1">
            <w:r w:rsidR="004B693C" w:rsidRPr="00966355">
              <w:rPr>
                <w:rStyle w:val="Hyperlink"/>
                <w:noProof/>
              </w:rPr>
              <w:t>Introduction</w:t>
            </w:r>
            <w:r w:rsidR="004B693C">
              <w:rPr>
                <w:noProof/>
                <w:webHidden/>
              </w:rPr>
              <w:tab/>
            </w:r>
            <w:r w:rsidR="004B693C">
              <w:rPr>
                <w:noProof/>
                <w:webHidden/>
              </w:rPr>
              <w:fldChar w:fldCharType="begin"/>
            </w:r>
            <w:r w:rsidR="004B693C">
              <w:rPr>
                <w:noProof/>
                <w:webHidden/>
              </w:rPr>
              <w:instrText xml:space="preserve"> PAGEREF _Toc182582686 \h </w:instrText>
            </w:r>
            <w:r w:rsidR="004B693C">
              <w:rPr>
                <w:noProof/>
                <w:webHidden/>
              </w:rPr>
            </w:r>
            <w:r w:rsidR="004B693C">
              <w:rPr>
                <w:noProof/>
                <w:webHidden/>
              </w:rPr>
              <w:fldChar w:fldCharType="separate"/>
            </w:r>
            <w:r w:rsidR="004B693C">
              <w:rPr>
                <w:noProof/>
                <w:webHidden/>
              </w:rPr>
              <w:t>2</w:t>
            </w:r>
            <w:r w:rsidR="004B693C">
              <w:rPr>
                <w:noProof/>
                <w:webHidden/>
              </w:rPr>
              <w:fldChar w:fldCharType="end"/>
            </w:r>
          </w:hyperlink>
        </w:p>
        <w:p w14:paraId="405A6E54" w14:textId="62A16D51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87" w:history="1">
            <w:r w:rsidRPr="0096635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7065" w14:textId="301F83B0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88" w:history="1">
            <w:r w:rsidRPr="0096635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B167" w14:textId="571C5F7D" w:rsidR="004B693C" w:rsidRDefault="004B6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89" w:history="1">
            <w:r w:rsidRPr="00966355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86AC" w14:textId="0E55330B" w:rsidR="004B693C" w:rsidRDefault="004B6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0" w:history="1">
            <w:r w:rsidRPr="00966355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4E8D" w14:textId="7D5EEEE0" w:rsidR="004B693C" w:rsidRDefault="004B6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1" w:history="1">
            <w:r w:rsidRPr="00966355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376F" w14:textId="315E5C7A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2" w:history="1">
            <w:r w:rsidRPr="00966355">
              <w:rPr>
                <w:rStyle w:val="Hyperlink"/>
                <w:noProof/>
              </w:rPr>
              <w:t>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90B7" w14:textId="2B7B90BD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3" w:history="1">
            <w:r w:rsidRPr="00966355">
              <w:rPr>
                <w:rStyle w:val="Hyperlink"/>
                <w:noProof/>
              </w:rPr>
              <w:t>Network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A2E7" w14:textId="0B8073C5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4" w:history="1">
            <w:r w:rsidRPr="00966355">
              <w:rPr>
                <w:rStyle w:val="Hyperlink"/>
                <w:noProof/>
              </w:rPr>
              <w:t>Supply Chain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83BB" w14:textId="4767D76B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5" w:history="1">
            <w:r w:rsidRPr="00966355">
              <w:rPr>
                <w:rStyle w:val="Hyperlink"/>
                <w:noProof/>
              </w:rPr>
              <w:t>Compliance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9B0A" w14:textId="25CAB054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6" w:history="1">
            <w:r w:rsidRPr="00966355">
              <w:rPr>
                <w:rStyle w:val="Hyperlink"/>
                <w:noProof/>
              </w:rPr>
              <w:t>Vendor Management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9D16" w14:textId="577A5D99" w:rsidR="004B693C" w:rsidRDefault="004B6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7" w:history="1">
            <w:r w:rsidRPr="00966355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0F4A" w14:textId="3867B379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8" w:history="1">
            <w:r w:rsidRPr="00966355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4980" w14:textId="38CF931F" w:rsidR="004B693C" w:rsidRDefault="004B6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699" w:history="1">
            <w:r w:rsidRPr="00966355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6F24" w14:textId="4D68157B" w:rsidR="004B693C" w:rsidRDefault="004B6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0" w:history="1">
            <w:r w:rsidRPr="00966355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A866" w14:textId="616B4CF8" w:rsidR="004B693C" w:rsidRDefault="004B6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1" w:history="1">
            <w:r w:rsidRPr="00966355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1AB5" w14:textId="62275CF1" w:rsidR="004B693C" w:rsidRDefault="004B6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2" w:history="1">
            <w:r w:rsidRPr="00966355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80CD" w14:textId="7BB2B15F" w:rsidR="004B693C" w:rsidRDefault="004B69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3" w:history="1">
            <w:r w:rsidRPr="00966355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F372" w14:textId="5A58EE4B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4" w:history="1">
            <w:r w:rsidRPr="00966355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0E04" w14:textId="618B6980" w:rsidR="004B693C" w:rsidRDefault="004B69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2705" w:history="1">
            <w:r w:rsidRPr="00966355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4AB092BC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61E731AA" w:rsidR="00186EAE" w:rsidRPr="00186EAE" w:rsidRDefault="00186EAE" w:rsidP="00186EAE">
      <w:pPr>
        <w:pStyle w:val="Title"/>
      </w:pPr>
      <w:r w:rsidRPr="00186EAE">
        <w:lastRenderedPageBreak/>
        <w:t xml:space="preserve">Risk Assessment </w:t>
      </w:r>
      <w:r w:rsidR="009C7D06">
        <w:t>–</w:t>
      </w:r>
      <w:r w:rsidRPr="00186EAE">
        <w:t xml:space="preserve"> </w:t>
      </w:r>
      <w:r w:rsidR="00F04ED0" w:rsidRPr="00F04ED0">
        <w:t>Third-Party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2686"/>
      <w:r w:rsidRPr="00186EAE">
        <w:t>Introduction</w:t>
      </w:r>
      <w:bookmarkEnd w:id="0"/>
    </w:p>
    <w:p w14:paraId="31D5829C" w14:textId="442E788B" w:rsidR="00186EAE" w:rsidRPr="00186EAE" w:rsidRDefault="00186EAE" w:rsidP="0014054D">
      <w:bookmarkStart w:id="1" w:name="_Toc182582687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F04ED0" w:rsidRPr="00F04ED0">
        <w:t>This risk assessment identifies and evaluates potential risks introduced by third-party vendors, contractors, and partners. It outlines vulnerabilities in vendor access, compliance gaps, and weak security practices, providing recommendations to mitigate these risks.</w:t>
      </w:r>
    </w:p>
    <w:p w14:paraId="67006154" w14:textId="2DBD65FC" w:rsidR="00186EAE" w:rsidRPr="00186EAE" w:rsidRDefault="00186EAE" w:rsidP="0014054D">
      <w:bookmarkStart w:id="2" w:name="_Toc182582688"/>
      <w:r w:rsidRPr="00186EAE">
        <w:rPr>
          <w:rStyle w:val="Heading2Char"/>
        </w:rPr>
        <w:t>Scope</w:t>
      </w:r>
      <w:bookmarkEnd w:id="2"/>
      <w:r w:rsidRPr="00186EAE">
        <w:t xml:space="preserve">: </w:t>
      </w:r>
      <w:r w:rsidR="00F04ED0" w:rsidRPr="00F04ED0">
        <w:t>Includes third-party access to systems, data, and physical facilities, as well as outsourced services such as cloud hosting, managed IT services, and supply chain processes.</w:t>
      </w:r>
      <w:r w:rsidR="00484CDE">
        <w:tab/>
      </w:r>
    </w:p>
    <w:p w14:paraId="4E81378E" w14:textId="393484B2" w:rsidR="00073FD1" w:rsidRPr="00073FD1" w:rsidRDefault="00186EAE" w:rsidP="00484CDE">
      <w:pPr>
        <w:pStyle w:val="Heading1"/>
      </w:pPr>
      <w:bookmarkStart w:id="3" w:name="_Toc182582689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19"/>
        <w:gridCol w:w="2324"/>
        <w:gridCol w:w="2017"/>
        <w:gridCol w:w="942"/>
      </w:tblGrid>
      <w:tr w:rsidR="00F04ED0" w:rsidRPr="00F04ED0" w14:paraId="0838E44A" w14:textId="77777777" w:rsidTr="00F04E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10B75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06E138E3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0950047B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5DC89602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Impact</w:t>
            </w:r>
          </w:p>
        </w:tc>
        <w:tc>
          <w:tcPr>
            <w:tcW w:w="873" w:type="dxa"/>
            <w:vAlign w:val="center"/>
            <w:hideMark/>
          </w:tcPr>
          <w:p w14:paraId="732FB4D2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Risk Rating</w:t>
            </w:r>
          </w:p>
        </w:tc>
      </w:tr>
      <w:tr w:rsidR="00F04ED0" w:rsidRPr="00F04ED0" w14:paraId="6AD14385" w14:textId="77777777" w:rsidTr="00F04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9213" w14:textId="77777777" w:rsidR="00F04ED0" w:rsidRPr="00F04ED0" w:rsidRDefault="00F04ED0" w:rsidP="00F04ED0">
            <w:r w:rsidRPr="00F04ED0">
              <w:t>Sensitive Data</w:t>
            </w:r>
          </w:p>
        </w:tc>
        <w:tc>
          <w:tcPr>
            <w:tcW w:w="0" w:type="auto"/>
            <w:vAlign w:val="center"/>
            <w:hideMark/>
          </w:tcPr>
          <w:p w14:paraId="09E2964F" w14:textId="77777777" w:rsidR="00F04ED0" w:rsidRPr="00F04ED0" w:rsidRDefault="00F04ED0" w:rsidP="00F04ED0">
            <w:r w:rsidRPr="00F04ED0">
              <w:t>Unauthorized access by vendor personnel</w:t>
            </w:r>
          </w:p>
        </w:tc>
        <w:tc>
          <w:tcPr>
            <w:tcW w:w="0" w:type="auto"/>
            <w:vAlign w:val="center"/>
            <w:hideMark/>
          </w:tcPr>
          <w:p w14:paraId="54ACF90A" w14:textId="77777777" w:rsidR="00F04ED0" w:rsidRPr="00F04ED0" w:rsidRDefault="00F04ED0" w:rsidP="00F04ED0">
            <w:r w:rsidRPr="00F04ED0">
              <w:t>Inadequate access controls or monitoring</w:t>
            </w:r>
          </w:p>
        </w:tc>
        <w:tc>
          <w:tcPr>
            <w:tcW w:w="0" w:type="auto"/>
            <w:vAlign w:val="center"/>
            <w:hideMark/>
          </w:tcPr>
          <w:p w14:paraId="0ADAD226" w14:textId="77777777" w:rsidR="00F04ED0" w:rsidRPr="00F04ED0" w:rsidRDefault="00F04ED0" w:rsidP="00F04ED0">
            <w:r w:rsidRPr="00F04ED0">
              <w:t>Data breaches, regulatory penalties</w:t>
            </w:r>
          </w:p>
        </w:tc>
        <w:tc>
          <w:tcPr>
            <w:tcW w:w="873" w:type="dxa"/>
            <w:vAlign w:val="center"/>
            <w:hideMark/>
          </w:tcPr>
          <w:p w14:paraId="07BCA34C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</w:tr>
      <w:tr w:rsidR="00F04ED0" w:rsidRPr="00F04ED0" w14:paraId="02A2DA31" w14:textId="77777777" w:rsidTr="00F04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25E5" w14:textId="77777777" w:rsidR="00F04ED0" w:rsidRPr="00F04ED0" w:rsidRDefault="00F04ED0" w:rsidP="00F04ED0">
            <w:r w:rsidRPr="00F04ED0">
              <w:t>Network Infrastructure</w:t>
            </w:r>
          </w:p>
        </w:tc>
        <w:tc>
          <w:tcPr>
            <w:tcW w:w="0" w:type="auto"/>
            <w:vAlign w:val="center"/>
            <w:hideMark/>
          </w:tcPr>
          <w:p w14:paraId="2E72C7A4" w14:textId="77777777" w:rsidR="00F04ED0" w:rsidRPr="00F04ED0" w:rsidRDefault="00F04ED0" w:rsidP="00F04ED0">
            <w:r w:rsidRPr="00F04ED0">
              <w:t>Malware introduced through third-party integrations</w:t>
            </w:r>
          </w:p>
        </w:tc>
        <w:tc>
          <w:tcPr>
            <w:tcW w:w="0" w:type="auto"/>
            <w:vAlign w:val="center"/>
            <w:hideMark/>
          </w:tcPr>
          <w:p w14:paraId="0461A564" w14:textId="77777777" w:rsidR="00F04ED0" w:rsidRPr="00F04ED0" w:rsidRDefault="00F04ED0" w:rsidP="00F04ED0">
            <w:r w:rsidRPr="00F04ED0">
              <w:t>Lack of security vetting or monitoring of vendor software</w:t>
            </w:r>
          </w:p>
        </w:tc>
        <w:tc>
          <w:tcPr>
            <w:tcW w:w="0" w:type="auto"/>
            <w:vAlign w:val="center"/>
            <w:hideMark/>
          </w:tcPr>
          <w:p w14:paraId="31129365" w14:textId="77777777" w:rsidR="00F04ED0" w:rsidRPr="00F04ED0" w:rsidRDefault="00F04ED0" w:rsidP="00F04ED0">
            <w:r w:rsidRPr="00F04ED0">
              <w:t>System compromise, operational disruption</w:t>
            </w:r>
          </w:p>
        </w:tc>
        <w:tc>
          <w:tcPr>
            <w:tcW w:w="873" w:type="dxa"/>
            <w:vAlign w:val="center"/>
            <w:hideMark/>
          </w:tcPr>
          <w:p w14:paraId="30AD47A9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</w:tr>
      <w:tr w:rsidR="00F04ED0" w:rsidRPr="00F04ED0" w14:paraId="47A0164A" w14:textId="77777777" w:rsidTr="00F04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3B54" w14:textId="77777777" w:rsidR="00F04ED0" w:rsidRPr="00F04ED0" w:rsidRDefault="00F04ED0" w:rsidP="00F04ED0">
            <w:r w:rsidRPr="00F04ED0">
              <w:t>Supply Chain Operations</w:t>
            </w:r>
          </w:p>
        </w:tc>
        <w:tc>
          <w:tcPr>
            <w:tcW w:w="0" w:type="auto"/>
            <w:vAlign w:val="center"/>
            <w:hideMark/>
          </w:tcPr>
          <w:p w14:paraId="5D85E1D4" w14:textId="77777777" w:rsidR="00F04ED0" w:rsidRPr="00F04ED0" w:rsidRDefault="00F04ED0" w:rsidP="00F04ED0">
            <w:r w:rsidRPr="00F04ED0">
              <w:t>Disruption caused by vendor system outages</w:t>
            </w:r>
          </w:p>
        </w:tc>
        <w:tc>
          <w:tcPr>
            <w:tcW w:w="0" w:type="auto"/>
            <w:vAlign w:val="center"/>
            <w:hideMark/>
          </w:tcPr>
          <w:p w14:paraId="74356A76" w14:textId="77777777" w:rsidR="00F04ED0" w:rsidRPr="00F04ED0" w:rsidRDefault="00F04ED0" w:rsidP="00F04ED0">
            <w:r w:rsidRPr="00F04ED0">
              <w:t>Dependency on vendor infrastructure</w:t>
            </w:r>
          </w:p>
        </w:tc>
        <w:tc>
          <w:tcPr>
            <w:tcW w:w="0" w:type="auto"/>
            <w:vAlign w:val="center"/>
            <w:hideMark/>
          </w:tcPr>
          <w:p w14:paraId="40423903" w14:textId="77777777" w:rsidR="00F04ED0" w:rsidRPr="00F04ED0" w:rsidRDefault="00F04ED0" w:rsidP="00F04ED0">
            <w:r w:rsidRPr="00F04ED0">
              <w:t>Downtime, reputational damage</w:t>
            </w:r>
          </w:p>
        </w:tc>
        <w:tc>
          <w:tcPr>
            <w:tcW w:w="873" w:type="dxa"/>
            <w:vAlign w:val="center"/>
            <w:hideMark/>
          </w:tcPr>
          <w:p w14:paraId="47920394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</w:tr>
      <w:tr w:rsidR="00F04ED0" w:rsidRPr="00F04ED0" w14:paraId="4FDBA43D" w14:textId="77777777" w:rsidTr="00F04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E055" w14:textId="77777777" w:rsidR="00F04ED0" w:rsidRPr="00F04ED0" w:rsidRDefault="00F04ED0" w:rsidP="00F04ED0">
            <w:r w:rsidRPr="00F04ED0">
              <w:t>Compliance Requirements</w:t>
            </w:r>
          </w:p>
        </w:tc>
        <w:tc>
          <w:tcPr>
            <w:tcW w:w="0" w:type="auto"/>
            <w:vAlign w:val="center"/>
            <w:hideMark/>
          </w:tcPr>
          <w:p w14:paraId="554219B5" w14:textId="77777777" w:rsidR="00F04ED0" w:rsidRPr="00F04ED0" w:rsidRDefault="00F04ED0" w:rsidP="00F04ED0">
            <w:r w:rsidRPr="00F04ED0">
              <w:t>Non-compliance by vendors impacting the organization</w:t>
            </w:r>
          </w:p>
        </w:tc>
        <w:tc>
          <w:tcPr>
            <w:tcW w:w="0" w:type="auto"/>
            <w:vAlign w:val="center"/>
            <w:hideMark/>
          </w:tcPr>
          <w:p w14:paraId="63E1261E" w14:textId="77777777" w:rsidR="00F04ED0" w:rsidRPr="00F04ED0" w:rsidRDefault="00F04ED0" w:rsidP="00F04ED0">
            <w:r w:rsidRPr="00F04ED0">
              <w:t>Inadequate vendor due diligence</w:t>
            </w:r>
          </w:p>
        </w:tc>
        <w:tc>
          <w:tcPr>
            <w:tcW w:w="0" w:type="auto"/>
            <w:vAlign w:val="center"/>
            <w:hideMark/>
          </w:tcPr>
          <w:p w14:paraId="4F804648" w14:textId="77777777" w:rsidR="00F04ED0" w:rsidRPr="00F04ED0" w:rsidRDefault="00F04ED0" w:rsidP="00F04ED0">
            <w:r w:rsidRPr="00F04ED0">
              <w:t>Legal and financial penalties</w:t>
            </w:r>
          </w:p>
        </w:tc>
        <w:tc>
          <w:tcPr>
            <w:tcW w:w="873" w:type="dxa"/>
            <w:vAlign w:val="center"/>
            <w:hideMark/>
          </w:tcPr>
          <w:p w14:paraId="07151BE4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</w:tr>
      <w:tr w:rsidR="00F04ED0" w:rsidRPr="00F04ED0" w14:paraId="6816CBEF" w14:textId="77777777" w:rsidTr="00F04E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8AA8" w14:textId="77777777" w:rsidR="00F04ED0" w:rsidRPr="00F04ED0" w:rsidRDefault="00F04ED0" w:rsidP="00F04ED0">
            <w:r w:rsidRPr="00F04ED0">
              <w:lastRenderedPageBreak/>
              <w:t>Vendor Management Accounts</w:t>
            </w:r>
          </w:p>
        </w:tc>
        <w:tc>
          <w:tcPr>
            <w:tcW w:w="0" w:type="auto"/>
            <w:vAlign w:val="center"/>
            <w:hideMark/>
          </w:tcPr>
          <w:p w14:paraId="6C2C2858" w14:textId="77777777" w:rsidR="00F04ED0" w:rsidRPr="00F04ED0" w:rsidRDefault="00F04ED0" w:rsidP="00F04ED0">
            <w:r w:rsidRPr="00F04ED0">
              <w:t xml:space="preserve">Exploitation of </w:t>
            </w:r>
            <w:proofErr w:type="gramStart"/>
            <w:r w:rsidRPr="00F04ED0">
              <w:t>vendor</w:t>
            </w:r>
            <w:proofErr w:type="gramEnd"/>
            <w:r w:rsidRPr="00F04ED0">
              <w:t xml:space="preserve"> accounts for lateral movement</w:t>
            </w:r>
          </w:p>
        </w:tc>
        <w:tc>
          <w:tcPr>
            <w:tcW w:w="0" w:type="auto"/>
            <w:vAlign w:val="center"/>
            <w:hideMark/>
          </w:tcPr>
          <w:p w14:paraId="7514A596" w14:textId="77777777" w:rsidR="00F04ED0" w:rsidRPr="00F04ED0" w:rsidRDefault="00F04ED0" w:rsidP="00F04ED0">
            <w:r w:rsidRPr="00F04ED0">
              <w:t>Weak authentication and monitoring of vendor activity</w:t>
            </w:r>
          </w:p>
        </w:tc>
        <w:tc>
          <w:tcPr>
            <w:tcW w:w="0" w:type="auto"/>
            <w:vAlign w:val="center"/>
            <w:hideMark/>
          </w:tcPr>
          <w:p w14:paraId="342161CE" w14:textId="77777777" w:rsidR="00F04ED0" w:rsidRPr="00F04ED0" w:rsidRDefault="00F04ED0" w:rsidP="00F04ED0">
            <w:r w:rsidRPr="00F04ED0">
              <w:t>Unauthorized access, data exfiltration</w:t>
            </w:r>
          </w:p>
        </w:tc>
        <w:tc>
          <w:tcPr>
            <w:tcW w:w="873" w:type="dxa"/>
            <w:vAlign w:val="center"/>
            <w:hideMark/>
          </w:tcPr>
          <w:p w14:paraId="7FB1EE7A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</w:tr>
    </w:tbl>
    <w:p w14:paraId="2BEF1F94" w14:textId="26B47646" w:rsidR="00E779D1" w:rsidRDefault="00186EAE" w:rsidP="00073FD1">
      <w:pPr>
        <w:pStyle w:val="Heading1"/>
      </w:pPr>
      <w:bookmarkStart w:id="4" w:name="_Toc182582690"/>
      <w:r w:rsidRPr="00186EAE">
        <w:t>Risk Analysis</w:t>
      </w:r>
      <w:bookmarkEnd w:id="4"/>
    </w:p>
    <w:tbl>
      <w:tblPr>
        <w:tblW w:w="93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1363"/>
        <w:gridCol w:w="2010"/>
        <w:gridCol w:w="2270"/>
      </w:tblGrid>
      <w:tr w:rsidR="00F04ED0" w:rsidRPr="00F04ED0" w14:paraId="1D8D794E" w14:textId="77777777" w:rsidTr="00F04ED0">
        <w:trPr>
          <w:trHeight w:val="5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071B1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5D267D66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28A593B0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731F9469" w14:textId="77777777" w:rsidR="00F04ED0" w:rsidRPr="00F04ED0" w:rsidRDefault="00F04ED0" w:rsidP="00F04ED0">
            <w:pPr>
              <w:jc w:val="center"/>
              <w:rPr>
                <w:b/>
                <w:bCs/>
              </w:rPr>
            </w:pPr>
            <w:r w:rsidRPr="00F04ED0">
              <w:rPr>
                <w:b/>
                <w:bCs/>
              </w:rPr>
              <w:t>Overall Risk Level</w:t>
            </w:r>
          </w:p>
        </w:tc>
      </w:tr>
      <w:tr w:rsidR="00F04ED0" w:rsidRPr="00F04ED0" w14:paraId="6A2F8090" w14:textId="77777777" w:rsidTr="00F04ED0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5773743C" w14:textId="77777777" w:rsidR="00F04ED0" w:rsidRPr="00F04ED0" w:rsidRDefault="00F04ED0" w:rsidP="00F04ED0">
            <w:r w:rsidRPr="00F04ED0">
              <w:t>Sensitive Data</w:t>
            </w:r>
          </w:p>
        </w:tc>
        <w:tc>
          <w:tcPr>
            <w:tcW w:w="0" w:type="auto"/>
            <w:vAlign w:val="center"/>
            <w:hideMark/>
          </w:tcPr>
          <w:p w14:paraId="033F05E8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  <w:tc>
          <w:tcPr>
            <w:tcW w:w="0" w:type="auto"/>
            <w:vAlign w:val="center"/>
            <w:hideMark/>
          </w:tcPr>
          <w:p w14:paraId="23D23C2C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  <w:tc>
          <w:tcPr>
            <w:tcW w:w="0" w:type="auto"/>
            <w:vAlign w:val="center"/>
            <w:hideMark/>
          </w:tcPr>
          <w:p w14:paraId="535B21E0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</w:tr>
      <w:tr w:rsidR="00F04ED0" w:rsidRPr="00F04ED0" w14:paraId="31FCC484" w14:textId="77777777" w:rsidTr="00F04ED0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B640D9F" w14:textId="77777777" w:rsidR="00F04ED0" w:rsidRPr="00F04ED0" w:rsidRDefault="00F04ED0" w:rsidP="00F04ED0">
            <w:r w:rsidRPr="00F04ED0">
              <w:t>Network Infrastructure</w:t>
            </w:r>
          </w:p>
        </w:tc>
        <w:tc>
          <w:tcPr>
            <w:tcW w:w="0" w:type="auto"/>
            <w:vAlign w:val="center"/>
            <w:hideMark/>
          </w:tcPr>
          <w:p w14:paraId="086B6987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  <w:tc>
          <w:tcPr>
            <w:tcW w:w="0" w:type="auto"/>
            <w:vAlign w:val="center"/>
            <w:hideMark/>
          </w:tcPr>
          <w:p w14:paraId="1BBC0E93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  <w:tc>
          <w:tcPr>
            <w:tcW w:w="0" w:type="auto"/>
            <w:vAlign w:val="center"/>
            <w:hideMark/>
          </w:tcPr>
          <w:p w14:paraId="1887EF87" w14:textId="77777777" w:rsidR="00F04ED0" w:rsidRPr="00F04ED0" w:rsidRDefault="00F04ED0" w:rsidP="00F04ED0">
            <w:pPr>
              <w:jc w:val="center"/>
            </w:pPr>
            <w:r w:rsidRPr="00F04ED0">
              <w:t>Critical</w:t>
            </w:r>
          </w:p>
        </w:tc>
      </w:tr>
      <w:tr w:rsidR="00F04ED0" w:rsidRPr="00F04ED0" w14:paraId="5FD93D64" w14:textId="77777777" w:rsidTr="00F04ED0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90BD7D1" w14:textId="77777777" w:rsidR="00F04ED0" w:rsidRPr="00F04ED0" w:rsidRDefault="00F04ED0" w:rsidP="00F04ED0">
            <w:r w:rsidRPr="00F04ED0">
              <w:t>Supply Chain Operations</w:t>
            </w:r>
          </w:p>
        </w:tc>
        <w:tc>
          <w:tcPr>
            <w:tcW w:w="0" w:type="auto"/>
            <w:vAlign w:val="center"/>
            <w:hideMark/>
          </w:tcPr>
          <w:p w14:paraId="66633AED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  <w:tc>
          <w:tcPr>
            <w:tcW w:w="0" w:type="auto"/>
            <w:vAlign w:val="center"/>
            <w:hideMark/>
          </w:tcPr>
          <w:p w14:paraId="07D87350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  <w:tc>
          <w:tcPr>
            <w:tcW w:w="0" w:type="auto"/>
            <w:vAlign w:val="center"/>
            <w:hideMark/>
          </w:tcPr>
          <w:p w14:paraId="15CC760B" w14:textId="77777777" w:rsidR="00F04ED0" w:rsidRPr="00F04ED0" w:rsidRDefault="00F04ED0" w:rsidP="00F04ED0">
            <w:pPr>
              <w:jc w:val="center"/>
            </w:pPr>
            <w:r w:rsidRPr="00F04ED0">
              <w:t>Moderate</w:t>
            </w:r>
          </w:p>
        </w:tc>
      </w:tr>
      <w:tr w:rsidR="00F04ED0" w:rsidRPr="00F04ED0" w14:paraId="62FDD1A2" w14:textId="77777777" w:rsidTr="00F04ED0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2C15046A" w14:textId="77777777" w:rsidR="00F04ED0" w:rsidRPr="00F04ED0" w:rsidRDefault="00F04ED0" w:rsidP="00F04ED0">
            <w:r w:rsidRPr="00F04ED0">
              <w:t>Compliance Requirements</w:t>
            </w:r>
          </w:p>
        </w:tc>
        <w:tc>
          <w:tcPr>
            <w:tcW w:w="0" w:type="auto"/>
            <w:vAlign w:val="center"/>
            <w:hideMark/>
          </w:tcPr>
          <w:p w14:paraId="3D571D3E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  <w:tc>
          <w:tcPr>
            <w:tcW w:w="0" w:type="auto"/>
            <w:vAlign w:val="center"/>
            <w:hideMark/>
          </w:tcPr>
          <w:p w14:paraId="520998FB" w14:textId="77777777" w:rsidR="00F04ED0" w:rsidRPr="00F04ED0" w:rsidRDefault="00F04ED0" w:rsidP="00F04ED0">
            <w:pPr>
              <w:jc w:val="center"/>
            </w:pPr>
            <w:r w:rsidRPr="00F04ED0">
              <w:t>Medium</w:t>
            </w:r>
          </w:p>
        </w:tc>
        <w:tc>
          <w:tcPr>
            <w:tcW w:w="0" w:type="auto"/>
            <w:vAlign w:val="center"/>
            <w:hideMark/>
          </w:tcPr>
          <w:p w14:paraId="553EBDA2" w14:textId="77777777" w:rsidR="00F04ED0" w:rsidRPr="00F04ED0" w:rsidRDefault="00F04ED0" w:rsidP="00F04ED0">
            <w:pPr>
              <w:jc w:val="center"/>
            </w:pPr>
            <w:r w:rsidRPr="00F04ED0">
              <w:t>Moderate</w:t>
            </w:r>
          </w:p>
        </w:tc>
      </w:tr>
      <w:tr w:rsidR="00F04ED0" w:rsidRPr="00F04ED0" w14:paraId="64135E06" w14:textId="77777777" w:rsidTr="00F04ED0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E600F44" w14:textId="77777777" w:rsidR="00F04ED0" w:rsidRPr="00F04ED0" w:rsidRDefault="00F04ED0" w:rsidP="00F04ED0">
            <w:r w:rsidRPr="00F04ED0">
              <w:t>Vendor Management Accounts</w:t>
            </w:r>
          </w:p>
        </w:tc>
        <w:tc>
          <w:tcPr>
            <w:tcW w:w="0" w:type="auto"/>
            <w:vAlign w:val="center"/>
            <w:hideMark/>
          </w:tcPr>
          <w:p w14:paraId="06366E43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  <w:tc>
          <w:tcPr>
            <w:tcW w:w="0" w:type="auto"/>
            <w:vAlign w:val="center"/>
            <w:hideMark/>
          </w:tcPr>
          <w:p w14:paraId="7130A98C" w14:textId="77777777" w:rsidR="00F04ED0" w:rsidRPr="00F04ED0" w:rsidRDefault="00F04ED0" w:rsidP="00F04ED0">
            <w:pPr>
              <w:jc w:val="center"/>
            </w:pPr>
            <w:r w:rsidRPr="00F04ED0">
              <w:t>High</w:t>
            </w:r>
          </w:p>
        </w:tc>
        <w:tc>
          <w:tcPr>
            <w:tcW w:w="0" w:type="auto"/>
            <w:vAlign w:val="center"/>
            <w:hideMark/>
          </w:tcPr>
          <w:p w14:paraId="72E55C50" w14:textId="77777777" w:rsidR="00F04ED0" w:rsidRPr="00F04ED0" w:rsidRDefault="00F04ED0" w:rsidP="00F04ED0">
            <w:pPr>
              <w:jc w:val="center"/>
            </w:pPr>
            <w:r w:rsidRPr="00F04ED0">
              <w:t>Critical</w:t>
            </w:r>
          </w:p>
        </w:tc>
      </w:tr>
    </w:tbl>
    <w:p w14:paraId="70CCD696" w14:textId="77777777" w:rsidR="00AC2BA1" w:rsidRDefault="00186EAE" w:rsidP="00AC2BA1">
      <w:pPr>
        <w:pStyle w:val="Heading1"/>
      </w:pPr>
      <w:bookmarkStart w:id="5" w:name="_Toc182582691"/>
      <w:r w:rsidRPr="00186EAE">
        <w:t>Mitigation Recommendations</w:t>
      </w:r>
      <w:bookmarkEnd w:id="5"/>
    </w:p>
    <w:p w14:paraId="41C84960" w14:textId="1A6FB45E" w:rsidR="00AC2BA1" w:rsidRPr="00AC2BA1" w:rsidRDefault="00AC2BA1" w:rsidP="00AC2BA1">
      <w:pPr>
        <w:pStyle w:val="Heading2"/>
      </w:pPr>
      <w:bookmarkStart w:id="6" w:name="_Toc182582692"/>
      <w:r w:rsidRPr="00AC2BA1">
        <w:t>Sensitive Data</w:t>
      </w:r>
      <w:bookmarkEnd w:id="6"/>
    </w:p>
    <w:p w14:paraId="3BB3B74D" w14:textId="3A09E7A1" w:rsidR="00AC2BA1" w:rsidRPr="00AC2BA1" w:rsidRDefault="00AC2BA1" w:rsidP="00AC2BA1">
      <w:pPr>
        <w:pStyle w:val="ListParagraph"/>
        <w:numPr>
          <w:ilvl w:val="0"/>
          <w:numId w:val="18"/>
        </w:numPr>
      </w:pPr>
      <w:r w:rsidRPr="00AC2BA1">
        <w:t xml:space="preserve">Enforce </w:t>
      </w:r>
      <w:r w:rsidRPr="00AC2BA1">
        <w:rPr>
          <w:b/>
          <w:bCs/>
        </w:rPr>
        <w:t>least</w:t>
      </w:r>
      <w:r w:rsidR="004E6A97">
        <w:rPr>
          <w:b/>
          <w:bCs/>
        </w:rPr>
        <w:t>-</w:t>
      </w:r>
      <w:r w:rsidRPr="00AC2BA1">
        <w:rPr>
          <w:b/>
          <w:bCs/>
        </w:rPr>
        <w:t>privilege principles</w:t>
      </w:r>
      <w:r w:rsidRPr="00AC2BA1">
        <w:t xml:space="preserve"> for vendor access to sensitive data.</w:t>
      </w:r>
    </w:p>
    <w:p w14:paraId="788BCD20" w14:textId="77777777" w:rsidR="00AC2BA1" w:rsidRPr="00AC2BA1" w:rsidRDefault="00AC2BA1" w:rsidP="00AC2BA1">
      <w:pPr>
        <w:pStyle w:val="ListParagraph"/>
        <w:numPr>
          <w:ilvl w:val="0"/>
          <w:numId w:val="18"/>
        </w:numPr>
      </w:pPr>
      <w:r w:rsidRPr="00AC2BA1">
        <w:t xml:space="preserve">Require all vendors to comply with data protection standards, such as </w:t>
      </w:r>
      <w:r w:rsidRPr="00AC2BA1">
        <w:rPr>
          <w:b/>
          <w:bCs/>
        </w:rPr>
        <w:t>GDPR</w:t>
      </w:r>
      <w:r w:rsidRPr="00AC2BA1">
        <w:t xml:space="preserve"> or </w:t>
      </w:r>
      <w:r w:rsidRPr="00AC2BA1">
        <w:rPr>
          <w:b/>
          <w:bCs/>
        </w:rPr>
        <w:t>CCPA</w:t>
      </w:r>
      <w:r w:rsidRPr="00AC2BA1">
        <w:t>.</w:t>
      </w:r>
    </w:p>
    <w:p w14:paraId="264941C2" w14:textId="77777777" w:rsidR="00AC2BA1" w:rsidRPr="00AC2BA1" w:rsidRDefault="00AC2BA1" w:rsidP="00AC2BA1">
      <w:pPr>
        <w:pStyle w:val="ListParagraph"/>
        <w:numPr>
          <w:ilvl w:val="0"/>
          <w:numId w:val="18"/>
        </w:numPr>
      </w:pPr>
      <w:r w:rsidRPr="00AC2BA1">
        <w:t xml:space="preserve">Implement </w:t>
      </w:r>
      <w:r w:rsidRPr="00AC2BA1">
        <w:rPr>
          <w:b/>
          <w:bCs/>
        </w:rPr>
        <w:t>Data Loss Prevention (DLP)</w:t>
      </w:r>
      <w:r w:rsidRPr="00AC2BA1">
        <w:t xml:space="preserve"> tools to monitor and block unauthorized data transfers by third-party users.</w:t>
      </w:r>
    </w:p>
    <w:p w14:paraId="636C7023" w14:textId="0EFE07D8" w:rsidR="00AC2BA1" w:rsidRPr="00AC2BA1" w:rsidRDefault="00AC2BA1" w:rsidP="00AC2BA1">
      <w:pPr>
        <w:pStyle w:val="Heading2"/>
      </w:pPr>
      <w:bookmarkStart w:id="7" w:name="_Toc182582693"/>
      <w:r w:rsidRPr="00AC2BA1">
        <w:t>Network Infrastructure</w:t>
      </w:r>
      <w:bookmarkEnd w:id="7"/>
    </w:p>
    <w:p w14:paraId="5216E58D" w14:textId="77777777" w:rsidR="00AC2BA1" w:rsidRPr="00AC2BA1" w:rsidRDefault="00AC2BA1" w:rsidP="00AC2BA1">
      <w:pPr>
        <w:pStyle w:val="ListParagraph"/>
        <w:numPr>
          <w:ilvl w:val="0"/>
          <w:numId w:val="19"/>
        </w:numPr>
      </w:pPr>
      <w:r w:rsidRPr="00AC2BA1">
        <w:t>Vet vendor-provided software for malware and vulnerabilities before deployment.</w:t>
      </w:r>
    </w:p>
    <w:p w14:paraId="53712F35" w14:textId="77777777" w:rsidR="00AC2BA1" w:rsidRPr="00AC2BA1" w:rsidRDefault="00AC2BA1" w:rsidP="00AC2BA1">
      <w:pPr>
        <w:pStyle w:val="ListParagraph"/>
        <w:numPr>
          <w:ilvl w:val="0"/>
          <w:numId w:val="19"/>
        </w:numPr>
      </w:pPr>
      <w:r w:rsidRPr="00AC2BA1">
        <w:t xml:space="preserve">Segregate vendor access to specific network zones using </w:t>
      </w:r>
      <w:r w:rsidRPr="00AC2BA1">
        <w:rPr>
          <w:b/>
          <w:bCs/>
        </w:rPr>
        <w:t>network segmentation</w:t>
      </w:r>
      <w:r w:rsidRPr="00AC2BA1">
        <w:t>.</w:t>
      </w:r>
    </w:p>
    <w:p w14:paraId="382CEE0E" w14:textId="77777777" w:rsidR="00AC2BA1" w:rsidRPr="00AC2BA1" w:rsidRDefault="00AC2BA1" w:rsidP="00AC2BA1">
      <w:pPr>
        <w:pStyle w:val="ListParagraph"/>
        <w:numPr>
          <w:ilvl w:val="0"/>
          <w:numId w:val="19"/>
        </w:numPr>
      </w:pPr>
      <w:r w:rsidRPr="00AC2BA1">
        <w:t xml:space="preserve">Continuously monitor third-party integrations for anomalous activity using </w:t>
      </w:r>
      <w:r w:rsidRPr="00AC2BA1">
        <w:rPr>
          <w:b/>
          <w:bCs/>
        </w:rPr>
        <w:t>Intrusion Detection/Prevention Systems (IDS/IPS)</w:t>
      </w:r>
      <w:r w:rsidRPr="00AC2BA1">
        <w:t>.</w:t>
      </w:r>
    </w:p>
    <w:p w14:paraId="2EB554D8" w14:textId="700D8451" w:rsidR="00AC2BA1" w:rsidRPr="00AC2BA1" w:rsidRDefault="00AC2BA1" w:rsidP="00AC2BA1">
      <w:pPr>
        <w:pStyle w:val="Heading2"/>
      </w:pPr>
      <w:bookmarkStart w:id="8" w:name="_Toc182582694"/>
      <w:r w:rsidRPr="00AC2BA1">
        <w:lastRenderedPageBreak/>
        <w:t>Supply Chain Operations</w:t>
      </w:r>
      <w:bookmarkEnd w:id="8"/>
    </w:p>
    <w:p w14:paraId="7D84C06D" w14:textId="77777777" w:rsidR="00AC2BA1" w:rsidRPr="00AC2BA1" w:rsidRDefault="00AC2BA1" w:rsidP="00AC2BA1">
      <w:pPr>
        <w:pStyle w:val="ListParagraph"/>
        <w:numPr>
          <w:ilvl w:val="0"/>
          <w:numId w:val="20"/>
        </w:numPr>
      </w:pPr>
      <w:r w:rsidRPr="00AC2BA1">
        <w:t>Maintain backup vendor agreements to reduce reliance on a single provider.</w:t>
      </w:r>
    </w:p>
    <w:p w14:paraId="68D70D42" w14:textId="77777777" w:rsidR="00AC2BA1" w:rsidRPr="00AC2BA1" w:rsidRDefault="00AC2BA1" w:rsidP="00AC2BA1">
      <w:pPr>
        <w:pStyle w:val="ListParagraph"/>
        <w:numPr>
          <w:ilvl w:val="0"/>
          <w:numId w:val="20"/>
        </w:numPr>
      </w:pPr>
      <w:r w:rsidRPr="00AC2BA1">
        <w:t>Monitor vendor performance and establish Service Level Agreements (SLAs) with strict uptime requirements.</w:t>
      </w:r>
    </w:p>
    <w:p w14:paraId="1D2479F7" w14:textId="77777777" w:rsidR="00AC2BA1" w:rsidRPr="00AC2BA1" w:rsidRDefault="00AC2BA1" w:rsidP="00AC2BA1">
      <w:pPr>
        <w:pStyle w:val="ListParagraph"/>
        <w:numPr>
          <w:ilvl w:val="0"/>
          <w:numId w:val="20"/>
        </w:numPr>
      </w:pPr>
      <w:r w:rsidRPr="00AC2BA1">
        <w:t>Regularly review supply chain security practices to identify potential weaknesses.</w:t>
      </w:r>
    </w:p>
    <w:p w14:paraId="1B67BC2B" w14:textId="6567DBC0" w:rsidR="00AC2BA1" w:rsidRPr="00AC2BA1" w:rsidRDefault="00AC2BA1" w:rsidP="00AC2BA1">
      <w:pPr>
        <w:pStyle w:val="Heading2"/>
      </w:pPr>
      <w:bookmarkStart w:id="9" w:name="_Toc182582695"/>
      <w:r w:rsidRPr="00AC2BA1">
        <w:t>Compliance Requirements</w:t>
      </w:r>
      <w:bookmarkEnd w:id="9"/>
    </w:p>
    <w:p w14:paraId="75AA8360" w14:textId="77777777" w:rsidR="00AC2BA1" w:rsidRPr="00AC2BA1" w:rsidRDefault="00AC2BA1" w:rsidP="00AC2BA1">
      <w:pPr>
        <w:pStyle w:val="ListParagraph"/>
        <w:numPr>
          <w:ilvl w:val="0"/>
          <w:numId w:val="21"/>
        </w:numPr>
      </w:pPr>
      <w:r w:rsidRPr="00AC2BA1">
        <w:t xml:space="preserve">Conduct </w:t>
      </w:r>
      <w:r w:rsidRPr="00AC2BA1">
        <w:rPr>
          <w:b/>
          <w:bCs/>
        </w:rPr>
        <w:t>vendor risk assessments</w:t>
      </w:r>
      <w:r w:rsidRPr="00AC2BA1">
        <w:t xml:space="preserve"> before onboarding and annually to ensure ongoing compliance with applicable regulations.</w:t>
      </w:r>
    </w:p>
    <w:p w14:paraId="297EFE33" w14:textId="77777777" w:rsidR="00AC2BA1" w:rsidRPr="00AC2BA1" w:rsidRDefault="00AC2BA1" w:rsidP="00AC2BA1">
      <w:pPr>
        <w:pStyle w:val="ListParagraph"/>
        <w:numPr>
          <w:ilvl w:val="0"/>
          <w:numId w:val="21"/>
        </w:numPr>
      </w:pPr>
      <w:r w:rsidRPr="00AC2BA1">
        <w:t>Include data security and compliance clauses in vendor contracts, with penalties for breaches or non-compliance.</w:t>
      </w:r>
    </w:p>
    <w:p w14:paraId="07EABBFA" w14:textId="77777777" w:rsidR="00AC2BA1" w:rsidRPr="00AC2BA1" w:rsidRDefault="00AC2BA1" w:rsidP="00AC2BA1">
      <w:pPr>
        <w:pStyle w:val="ListParagraph"/>
        <w:numPr>
          <w:ilvl w:val="0"/>
          <w:numId w:val="21"/>
        </w:numPr>
      </w:pPr>
      <w:r w:rsidRPr="00AC2BA1">
        <w:t>Require vendors to provide regular compliance reports and participate in external audits.</w:t>
      </w:r>
    </w:p>
    <w:p w14:paraId="533A2A4E" w14:textId="0E1CDDE4" w:rsidR="00AC2BA1" w:rsidRPr="00AC2BA1" w:rsidRDefault="00AC2BA1" w:rsidP="00AC2BA1">
      <w:pPr>
        <w:pStyle w:val="Heading2"/>
      </w:pPr>
      <w:bookmarkStart w:id="10" w:name="_Toc182582696"/>
      <w:r w:rsidRPr="00AC2BA1">
        <w:t>Vendor Management Accounts</w:t>
      </w:r>
      <w:bookmarkEnd w:id="10"/>
    </w:p>
    <w:p w14:paraId="7975CCEC" w14:textId="77777777" w:rsidR="00AC2BA1" w:rsidRPr="00AC2BA1" w:rsidRDefault="00AC2BA1" w:rsidP="00AC2BA1">
      <w:pPr>
        <w:pStyle w:val="ListParagraph"/>
        <w:numPr>
          <w:ilvl w:val="0"/>
          <w:numId w:val="22"/>
        </w:numPr>
      </w:pPr>
      <w:r w:rsidRPr="00AC2BA1">
        <w:t xml:space="preserve">Enforce </w:t>
      </w:r>
      <w:r w:rsidRPr="00AC2BA1">
        <w:rPr>
          <w:b/>
          <w:bCs/>
        </w:rPr>
        <w:t>multi-factor authentication (MFA)</w:t>
      </w:r>
      <w:r w:rsidRPr="00AC2BA1">
        <w:t xml:space="preserve"> for all vendor accounts accessing organizational systems.</w:t>
      </w:r>
    </w:p>
    <w:p w14:paraId="37436ABA" w14:textId="77777777" w:rsidR="00AC2BA1" w:rsidRPr="00AC2BA1" w:rsidRDefault="00AC2BA1" w:rsidP="00AC2BA1">
      <w:pPr>
        <w:pStyle w:val="ListParagraph"/>
        <w:numPr>
          <w:ilvl w:val="0"/>
          <w:numId w:val="22"/>
        </w:numPr>
      </w:pPr>
      <w:r w:rsidRPr="00AC2BA1">
        <w:t>Monitor vendor account activity logs for unusual behavior, such as large data transfers or logins from unexpected locations.</w:t>
      </w:r>
    </w:p>
    <w:p w14:paraId="2BEE04F8" w14:textId="249196B5" w:rsidR="00AC2BA1" w:rsidRPr="00AC2BA1" w:rsidRDefault="00AC2BA1" w:rsidP="00AC2BA1">
      <w:pPr>
        <w:pStyle w:val="ListParagraph"/>
        <w:numPr>
          <w:ilvl w:val="0"/>
          <w:numId w:val="22"/>
        </w:numPr>
      </w:pPr>
      <w:r w:rsidRPr="00AC2BA1">
        <w:t>Disable vendor accounts immediately after contract termination or inactivity.</w:t>
      </w:r>
    </w:p>
    <w:p w14:paraId="794F6DD8" w14:textId="388F6971" w:rsidR="00186EAE" w:rsidRPr="00186EAE" w:rsidRDefault="00186EAE" w:rsidP="00AC2BA1">
      <w:pPr>
        <w:pStyle w:val="Heading1"/>
      </w:pPr>
      <w:bookmarkStart w:id="11" w:name="_Toc182582697"/>
      <w:r w:rsidRPr="00186EAE">
        <w:t>Monitoring and Review</w:t>
      </w:r>
      <w:bookmarkEnd w:id="11"/>
    </w:p>
    <w:p w14:paraId="7735E34A" w14:textId="5EBBD183" w:rsidR="00186EAE" w:rsidRDefault="00186EAE" w:rsidP="0014054D">
      <w:bookmarkStart w:id="12" w:name="_Toc182582698"/>
      <w:r w:rsidRPr="00186EAE">
        <w:rPr>
          <w:rStyle w:val="Heading2Char"/>
        </w:rPr>
        <w:t>Frequency</w:t>
      </w:r>
      <w:bookmarkEnd w:id="12"/>
    </w:p>
    <w:p w14:paraId="4B0AA84D" w14:textId="391226EE" w:rsidR="00052BCE" w:rsidRDefault="00052BCE" w:rsidP="0014054D">
      <w:pPr>
        <w:pStyle w:val="Heading3"/>
      </w:pPr>
      <w:bookmarkStart w:id="13" w:name="_Toc182582699"/>
      <w:r w:rsidRPr="0014054D">
        <w:t>Daily</w:t>
      </w:r>
      <w:bookmarkEnd w:id="13"/>
    </w:p>
    <w:p w14:paraId="34A92806" w14:textId="2DB967A0" w:rsidR="00AC2BA1" w:rsidRPr="00AC2BA1" w:rsidRDefault="00AC2BA1" w:rsidP="00AC2BA1">
      <w:pPr>
        <w:pStyle w:val="ListParagraph"/>
        <w:numPr>
          <w:ilvl w:val="0"/>
          <w:numId w:val="23"/>
        </w:numPr>
      </w:pPr>
      <w:r w:rsidRPr="00AC2BA1">
        <w:t>Monitor vendor access logs for unusual activities, including unauthorized data transfers or anomalous login patterns.</w:t>
      </w:r>
    </w:p>
    <w:p w14:paraId="08E7E0D9" w14:textId="6E505F1C" w:rsidR="00052BCE" w:rsidRDefault="00AC2BA1" w:rsidP="00AC2BA1">
      <w:pPr>
        <w:pStyle w:val="ListParagraph"/>
        <w:numPr>
          <w:ilvl w:val="0"/>
          <w:numId w:val="23"/>
        </w:numPr>
      </w:pPr>
      <w:r w:rsidRPr="00AC2BA1">
        <w:t>Validate alerts from IDS/IPS systems for suspicious activity related to third-party connections.</w:t>
      </w:r>
    </w:p>
    <w:p w14:paraId="008391A5" w14:textId="232A6B8C" w:rsidR="00AC0A86" w:rsidRDefault="00AC0A86" w:rsidP="0014054D">
      <w:pPr>
        <w:pStyle w:val="Heading3"/>
      </w:pPr>
      <w:bookmarkStart w:id="14" w:name="_Toc182582700"/>
      <w:r w:rsidRPr="0014054D">
        <w:t>Monthly</w:t>
      </w:r>
      <w:bookmarkEnd w:id="14"/>
    </w:p>
    <w:p w14:paraId="179FCF08" w14:textId="77777777" w:rsidR="00AC2BA1" w:rsidRDefault="00AC2BA1" w:rsidP="00AC2BA1">
      <w:pPr>
        <w:pStyle w:val="ListParagraph"/>
        <w:numPr>
          <w:ilvl w:val="0"/>
          <w:numId w:val="24"/>
        </w:numPr>
      </w:pPr>
      <w:r>
        <w:t>Review vendor access permissions and adjust based on current project needs or contract status.</w:t>
      </w:r>
    </w:p>
    <w:p w14:paraId="68D61496" w14:textId="77777777" w:rsidR="00AC2BA1" w:rsidRDefault="00AC2BA1" w:rsidP="00AC2BA1">
      <w:pPr>
        <w:pStyle w:val="ListParagraph"/>
        <w:numPr>
          <w:ilvl w:val="0"/>
          <w:numId w:val="24"/>
        </w:numPr>
      </w:pPr>
      <w:r>
        <w:t>Audit vendor-provided software and integrations for performance and security vulnerabilities.</w:t>
      </w:r>
    </w:p>
    <w:p w14:paraId="2ECA39D6" w14:textId="31EADFE1" w:rsidR="00AC2BA1" w:rsidRPr="00AC2BA1" w:rsidRDefault="00AC2BA1" w:rsidP="00AC2BA1">
      <w:pPr>
        <w:pStyle w:val="ListParagraph"/>
        <w:numPr>
          <w:ilvl w:val="0"/>
          <w:numId w:val="24"/>
        </w:numPr>
      </w:pPr>
      <w:r>
        <w:lastRenderedPageBreak/>
        <w:t>Ensure third-party SLA compliance by reviewing up-time reports and incident resolution times.</w:t>
      </w:r>
    </w:p>
    <w:p w14:paraId="52771B9D" w14:textId="121CD2E5" w:rsidR="00AC0A86" w:rsidRDefault="00AC0A86" w:rsidP="0014054D">
      <w:pPr>
        <w:pStyle w:val="Heading3"/>
      </w:pPr>
      <w:bookmarkStart w:id="15" w:name="_Toc182582701"/>
      <w:r w:rsidRPr="0014054D">
        <w:t>Quarterly</w:t>
      </w:r>
      <w:bookmarkEnd w:id="15"/>
    </w:p>
    <w:p w14:paraId="5A5E9D0D" w14:textId="77777777" w:rsidR="00AC2BA1" w:rsidRDefault="00AC2BA1" w:rsidP="00AC2BA1">
      <w:pPr>
        <w:pStyle w:val="ListParagraph"/>
        <w:numPr>
          <w:ilvl w:val="0"/>
          <w:numId w:val="25"/>
        </w:numPr>
      </w:pPr>
      <w:r>
        <w:t>Conduct third-party risk assessments to evaluate the security posture of vendors.</w:t>
      </w:r>
    </w:p>
    <w:p w14:paraId="7ABBE72B" w14:textId="77777777" w:rsidR="00AC2BA1" w:rsidRDefault="00AC2BA1" w:rsidP="00AC2BA1">
      <w:pPr>
        <w:pStyle w:val="ListParagraph"/>
        <w:numPr>
          <w:ilvl w:val="0"/>
          <w:numId w:val="25"/>
        </w:numPr>
      </w:pPr>
      <w:r>
        <w:t>Review compliance certifications provided by vendors, ensuring they meet regulatory requirements.</w:t>
      </w:r>
    </w:p>
    <w:p w14:paraId="6BA90265" w14:textId="15A04898" w:rsidR="00AC2BA1" w:rsidRPr="00AC2BA1" w:rsidRDefault="00AC2BA1" w:rsidP="00AC2BA1">
      <w:pPr>
        <w:pStyle w:val="ListParagraph"/>
        <w:numPr>
          <w:ilvl w:val="0"/>
          <w:numId w:val="25"/>
        </w:numPr>
      </w:pPr>
      <w:r>
        <w:t>Audit vendor contracts for data protection clauses and alignment with organizational policies.</w:t>
      </w:r>
    </w:p>
    <w:p w14:paraId="3E6B4A7A" w14:textId="54D1DD1F" w:rsidR="00AC0A86" w:rsidRDefault="00AC0A86" w:rsidP="0014054D">
      <w:pPr>
        <w:pStyle w:val="Heading3"/>
      </w:pPr>
      <w:bookmarkStart w:id="16" w:name="_Toc182582702"/>
      <w:r w:rsidRPr="0014054D">
        <w:t>Bi-Annually</w:t>
      </w:r>
      <w:bookmarkEnd w:id="16"/>
      <w:r w:rsidRPr="00AC0A86">
        <w:t xml:space="preserve"> </w:t>
      </w:r>
    </w:p>
    <w:p w14:paraId="644C0720" w14:textId="77777777" w:rsidR="00AC2BA1" w:rsidRDefault="00AC2BA1" w:rsidP="00AC2BA1">
      <w:pPr>
        <w:pStyle w:val="ListParagraph"/>
        <w:numPr>
          <w:ilvl w:val="0"/>
          <w:numId w:val="26"/>
        </w:numPr>
      </w:pPr>
      <w:r>
        <w:t>Perform penetration testing on third-party integrations to uncover potential vulnerabilities.</w:t>
      </w:r>
    </w:p>
    <w:p w14:paraId="53BA4BE3" w14:textId="77777777" w:rsidR="00AC2BA1" w:rsidRDefault="00AC2BA1" w:rsidP="00AC2BA1">
      <w:pPr>
        <w:pStyle w:val="ListParagraph"/>
        <w:numPr>
          <w:ilvl w:val="0"/>
          <w:numId w:val="26"/>
        </w:numPr>
      </w:pPr>
      <w:r>
        <w:t>Conduct tabletop exercises simulating vendor-related incidents, such as a third-party system compromise.</w:t>
      </w:r>
    </w:p>
    <w:p w14:paraId="4F7FDD3C" w14:textId="2CFE2792" w:rsidR="00AC2BA1" w:rsidRPr="00AC2BA1" w:rsidRDefault="00AC2BA1" w:rsidP="00AC2BA1">
      <w:pPr>
        <w:pStyle w:val="ListParagraph"/>
        <w:numPr>
          <w:ilvl w:val="0"/>
          <w:numId w:val="26"/>
        </w:numPr>
      </w:pPr>
      <w:r>
        <w:t>Evaluate vendor business continuity plans to ensure minimal disruption in case of outages or attacks.</w:t>
      </w:r>
    </w:p>
    <w:p w14:paraId="371484EB" w14:textId="581C6815" w:rsidR="00AC0A86" w:rsidRDefault="00AC0A86" w:rsidP="0014054D">
      <w:pPr>
        <w:pStyle w:val="Heading3"/>
      </w:pPr>
      <w:bookmarkStart w:id="17" w:name="_Toc182582703"/>
      <w:r w:rsidRPr="0014054D">
        <w:t>Annually</w:t>
      </w:r>
      <w:bookmarkEnd w:id="17"/>
      <w:r w:rsidRPr="00AC0A86">
        <w:t xml:space="preserve"> </w:t>
      </w:r>
    </w:p>
    <w:p w14:paraId="717C3325" w14:textId="77777777" w:rsidR="00AC2BA1" w:rsidRDefault="00AC2BA1" w:rsidP="00AC2BA1">
      <w:pPr>
        <w:pStyle w:val="ListParagraph"/>
        <w:numPr>
          <w:ilvl w:val="0"/>
          <w:numId w:val="27"/>
        </w:numPr>
      </w:pPr>
      <w:r>
        <w:t>Reassess third-party risks in light of changes to vendor services, organizational infrastructure, or regulatory environments.</w:t>
      </w:r>
    </w:p>
    <w:p w14:paraId="44C2F8B8" w14:textId="77777777" w:rsidR="00AC2BA1" w:rsidRDefault="00AC2BA1" w:rsidP="00AC2BA1">
      <w:pPr>
        <w:pStyle w:val="ListParagraph"/>
        <w:numPr>
          <w:ilvl w:val="0"/>
          <w:numId w:val="27"/>
        </w:numPr>
      </w:pPr>
      <w:r>
        <w:t>Update vendor onboarding and risk assessment processes to incorporate lessons learned from incidents and audits.</w:t>
      </w:r>
    </w:p>
    <w:p w14:paraId="3DC40724" w14:textId="06CC8270" w:rsidR="00AC2BA1" w:rsidRPr="00AC2BA1" w:rsidRDefault="00AC2BA1" w:rsidP="00AC2BA1">
      <w:pPr>
        <w:pStyle w:val="ListParagraph"/>
        <w:numPr>
          <w:ilvl w:val="0"/>
          <w:numId w:val="27"/>
        </w:numPr>
      </w:pPr>
      <w:r>
        <w:t xml:space="preserve">Conduct an organization-wide vendor security awareness campaign to reinforce </w:t>
      </w:r>
      <w:proofErr w:type="gramStart"/>
      <w:r>
        <w:t>best</w:t>
      </w:r>
      <w:proofErr w:type="gramEnd"/>
      <w:r>
        <w:t xml:space="preserve"> practices for managing third-party access.</w:t>
      </w:r>
    </w:p>
    <w:p w14:paraId="409E2D25" w14:textId="77777777" w:rsidR="00E65466" w:rsidRDefault="00420487" w:rsidP="00E65466">
      <w:pPr>
        <w:rPr>
          <w:rStyle w:val="Heading2Char"/>
        </w:rPr>
      </w:pPr>
      <w:bookmarkStart w:id="18" w:name="_Toc182582704"/>
      <w:r w:rsidRPr="00420487">
        <w:rPr>
          <w:rStyle w:val="Heading2Char"/>
        </w:rPr>
        <w:t>Incident Response</w:t>
      </w:r>
      <w:bookmarkEnd w:id="18"/>
    </w:p>
    <w:p w14:paraId="51E534A2" w14:textId="77777777" w:rsidR="009573DD" w:rsidRDefault="009573DD" w:rsidP="009573DD">
      <w:pPr>
        <w:pStyle w:val="ListParagraph"/>
        <w:numPr>
          <w:ilvl w:val="0"/>
          <w:numId w:val="11"/>
        </w:numPr>
      </w:pPr>
      <w:r>
        <w:t>Establish a Third-Party Incident Response Team (TPIRT) to address and resolve vendor-related security breaches.</w:t>
      </w:r>
    </w:p>
    <w:p w14:paraId="61210570" w14:textId="77777777" w:rsidR="009573DD" w:rsidRDefault="009573DD" w:rsidP="009573DD">
      <w:pPr>
        <w:pStyle w:val="ListParagraph"/>
        <w:numPr>
          <w:ilvl w:val="0"/>
          <w:numId w:val="11"/>
        </w:numPr>
      </w:pPr>
      <w:r>
        <w:t>Conduct bi-annual incident response drills, focusing on scenarios such as vendor account compromises or third-party malware outbreaks.</w:t>
      </w:r>
    </w:p>
    <w:p w14:paraId="183DADB4" w14:textId="4ADA8AAE" w:rsidR="00E65466" w:rsidRDefault="009573DD" w:rsidP="009573DD">
      <w:pPr>
        <w:pStyle w:val="ListParagraph"/>
        <w:numPr>
          <w:ilvl w:val="0"/>
          <w:numId w:val="11"/>
        </w:numPr>
      </w:pPr>
      <w:r>
        <w:t>Document all third-party security incidents, including root causes, remediation steps, and lessons learned.</w:t>
      </w:r>
    </w:p>
    <w:p w14:paraId="053CBF59" w14:textId="0F36B764" w:rsidR="00142529" w:rsidRDefault="00420487" w:rsidP="00E65466">
      <w:pPr>
        <w:rPr>
          <w:rStyle w:val="Heading2Char"/>
        </w:rPr>
      </w:pPr>
      <w:bookmarkStart w:id="19" w:name="_Toc182582705"/>
      <w:r w:rsidRPr="00420487">
        <w:rPr>
          <w:rStyle w:val="Heading2Char"/>
        </w:rPr>
        <w:t>Documentation and Compliance</w:t>
      </w:r>
      <w:bookmarkEnd w:id="19"/>
    </w:p>
    <w:p w14:paraId="3AB8610C" w14:textId="77777777" w:rsidR="009573DD" w:rsidRDefault="009573DD" w:rsidP="009573DD">
      <w:pPr>
        <w:pStyle w:val="ListParagraph"/>
        <w:numPr>
          <w:ilvl w:val="0"/>
          <w:numId w:val="28"/>
        </w:numPr>
      </w:pPr>
      <w:r>
        <w:t>Maintain logs of third-party access activities, including data transfers, software deployments, and account usage.</w:t>
      </w:r>
    </w:p>
    <w:p w14:paraId="4E6FCD8B" w14:textId="77777777" w:rsidR="009573DD" w:rsidRDefault="009573DD" w:rsidP="009573DD">
      <w:pPr>
        <w:pStyle w:val="ListParagraph"/>
        <w:numPr>
          <w:ilvl w:val="0"/>
          <w:numId w:val="28"/>
        </w:numPr>
      </w:pPr>
      <w:r>
        <w:lastRenderedPageBreak/>
        <w:t>Document vendor onboarding processes, risk assessments, and compliance certifications.</w:t>
      </w:r>
    </w:p>
    <w:p w14:paraId="322D3293" w14:textId="77777777" w:rsidR="009573DD" w:rsidRDefault="009573DD" w:rsidP="009573DD">
      <w:pPr>
        <w:pStyle w:val="ListParagraph"/>
        <w:numPr>
          <w:ilvl w:val="0"/>
          <w:numId w:val="28"/>
        </w:numPr>
      </w:pPr>
      <w:r>
        <w:t>Ensure compliance with applicable standards, including:</w:t>
      </w:r>
    </w:p>
    <w:p w14:paraId="0AFA0C85" w14:textId="77777777" w:rsidR="009573DD" w:rsidRDefault="009573DD" w:rsidP="009573DD">
      <w:pPr>
        <w:pStyle w:val="ListParagraph"/>
        <w:numPr>
          <w:ilvl w:val="1"/>
          <w:numId w:val="28"/>
        </w:numPr>
      </w:pPr>
      <w:r>
        <w:t>NIST SP 800-53: SA-9 (External System Services), AC-17 (Remote Access), and SI-4 (Monitoring).</w:t>
      </w:r>
    </w:p>
    <w:p w14:paraId="7E2F2C7A" w14:textId="35BEF8FF" w:rsidR="007F74BC" w:rsidRPr="007F74BC" w:rsidRDefault="009573DD" w:rsidP="009573DD">
      <w:pPr>
        <w:pStyle w:val="ListParagraph"/>
        <w:numPr>
          <w:ilvl w:val="1"/>
          <w:numId w:val="28"/>
        </w:numPr>
      </w:pPr>
      <w:r>
        <w:t>GDPR, ISO 27001, and SOC 2 requirements for third-party management.</w:t>
      </w:r>
    </w:p>
    <w:p w14:paraId="364CACCE" w14:textId="77777777" w:rsidR="00E65466" w:rsidRDefault="00E65466" w:rsidP="00E65466"/>
    <w:p w14:paraId="70B50D76" w14:textId="77777777" w:rsidR="00E65466" w:rsidRPr="00186EAE" w:rsidRDefault="00E65466" w:rsidP="00E65466"/>
    <w:sectPr w:rsidR="00E65466" w:rsidRPr="00186EAE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14AEE" w14:textId="77777777" w:rsidR="00EC3C96" w:rsidRDefault="00EC3C96" w:rsidP="002100DD">
      <w:pPr>
        <w:spacing w:after="0" w:line="240" w:lineRule="auto"/>
      </w:pPr>
      <w:r>
        <w:separator/>
      </w:r>
    </w:p>
  </w:endnote>
  <w:endnote w:type="continuationSeparator" w:id="0">
    <w:p w14:paraId="3ABE8162" w14:textId="77777777" w:rsidR="00EC3C96" w:rsidRDefault="00EC3C96" w:rsidP="0021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E5EE" w14:textId="77777777" w:rsidR="002100DD" w:rsidRDefault="0021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533EF" w14:textId="7BDDFEA7" w:rsidR="002100DD" w:rsidRDefault="00210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C16D" w14:textId="77777777" w:rsidR="002100DD" w:rsidRDefault="0021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ADC1" w14:textId="77777777" w:rsidR="002100DD" w:rsidRDefault="0021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B7869" w14:textId="77777777" w:rsidR="00EC3C96" w:rsidRDefault="00EC3C96" w:rsidP="002100DD">
      <w:pPr>
        <w:spacing w:after="0" w:line="240" w:lineRule="auto"/>
      </w:pPr>
      <w:r>
        <w:separator/>
      </w:r>
    </w:p>
  </w:footnote>
  <w:footnote w:type="continuationSeparator" w:id="0">
    <w:p w14:paraId="26123925" w14:textId="77777777" w:rsidR="00EC3C96" w:rsidRDefault="00EC3C96" w:rsidP="0021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392C4" w14:textId="77777777" w:rsidR="002100DD" w:rsidRDefault="0021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B341E" w14:textId="77777777" w:rsidR="002100DD" w:rsidRDefault="00210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69B" w14:textId="77777777" w:rsidR="002100DD" w:rsidRDefault="0021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9B3"/>
    <w:multiLevelType w:val="hybridMultilevel"/>
    <w:tmpl w:val="77F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532"/>
    <w:multiLevelType w:val="hybridMultilevel"/>
    <w:tmpl w:val="3A1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2E1A"/>
    <w:multiLevelType w:val="hybridMultilevel"/>
    <w:tmpl w:val="939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C29"/>
    <w:multiLevelType w:val="hybridMultilevel"/>
    <w:tmpl w:val="185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6756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B6165"/>
    <w:multiLevelType w:val="hybridMultilevel"/>
    <w:tmpl w:val="767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0932"/>
    <w:multiLevelType w:val="hybridMultilevel"/>
    <w:tmpl w:val="0D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702A2"/>
    <w:multiLevelType w:val="multilevel"/>
    <w:tmpl w:val="4A0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F37D5"/>
    <w:multiLevelType w:val="hybridMultilevel"/>
    <w:tmpl w:val="248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40DC"/>
    <w:multiLevelType w:val="multilevel"/>
    <w:tmpl w:val="D5F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260F9"/>
    <w:multiLevelType w:val="hybridMultilevel"/>
    <w:tmpl w:val="07D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C5155"/>
    <w:multiLevelType w:val="multilevel"/>
    <w:tmpl w:val="BC3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975C1"/>
    <w:multiLevelType w:val="hybridMultilevel"/>
    <w:tmpl w:val="642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644F4"/>
    <w:multiLevelType w:val="hybridMultilevel"/>
    <w:tmpl w:val="2D5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2253"/>
    <w:multiLevelType w:val="multilevel"/>
    <w:tmpl w:val="0F1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4508B"/>
    <w:multiLevelType w:val="hybridMultilevel"/>
    <w:tmpl w:val="3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B07"/>
    <w:multiLevelType w:val="hybridMultilevel"/>
    <w:tmpl w:val="DC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E7741"/>
    <w:multiLevelType w:val="hybridMultilevel"/>
    <w:tmpl w:val="A24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56413"/>
    <w:multiLevelType w:val="hybridMultilevel"/>
    <w:tmpl w:val="EC2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744F"/>
    <w:multiLevelType w:val="hybridMultilevel"/>
    <w:tmpl w:val="AA0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F1D42"/>
    <w:multiLevelType w:val="hybridMultilevel"/>
    <w:tmpl w:val="23D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626FF"/>
    <w:multiLevelType w:val="hybridMultilevel"/>
    <w:tmpl w:val="9D9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74730"/>
    <w:multiLevelType w:val="hybridMultilevel"/>
    <w:tmpl w:val="A4E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A3EF1"/>
    <w:multiLevelType w:val="multilevel"/>
    <w:tmpl w:val="BDC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0367A"/>
    <w:multiLevelType w:val="hybridMultilevel"/>
    <w:tmpl w:val="414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E5FC2"/>
    <w:multiLevelType w:val="hybridMultilevel"/>
    <w:tmpl w:val="C9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D7D2A"/>
    <w:multiLevelType w:val="hybridMultilevel"/>
    <w:tmpl w:val="0B6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D0649"/>
    <w:multiLevelType w:val="hybridMultilevel"/>
    <w:tmpl w:val="77E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0663">
    <w:abstractNumId w:val="3"/>
  </w:num>
  <w:num w:numId="2" w16cid:durableId="350883095">
    <w:abstractNumId w:val="19"/>
  </w:num>
  <w:num w:numId="3" w16cid:durableId="1844776243">
    <w:abstractNumId w:val="1"/>
  </w:num>
  <w:num w:numId="4" w16cid:durableId="1824855155">
    <w:abstractNumId w:val="12"/>
  </w:num>
  <w:num w:numId="5" w16cid:durableId="1347437988">
    <w:abstractNumId w:val="24"/>
  </w:num>
  <w:num w:numId="6" w16cid:durableId="1677807839">
    <w:abstractNumId w:val="18"/>
  </w:num>
  <w:num w:numId="7" w16cid:durableId="1046946883">
    <w:abstractNumId w:val="21"/>
  </w:num>
  <w:num w:numId="8" w16cid:durableId="689574181">
    <w:abstractNumId w:val="25"/>
  </w:num>
  <w:num w:numId="9" w16cid:durableId="1284774773">
    <w:abstractNumId w:val="27"/>
  </w:num>
  <w:num w:numId="10" w16cid:durableId="809323454">
    <w:abstractNumId w:val="26"/>
  </w:num>
  <w:num w:numId="11" w16cid:durableId="2120635786">
    <w:abstractNumId w:val="15"/>
  </w:num>
  <w:num w:numId="12" w16cid:durableId="499080303">
    <w:abstractNumId w:val="16"/>
  </w:num>
  <w:num w:numId="13" w16cid:durableId="533923744">
    <w:abstractNumId w:val="23"/>
  </w:num>
  <w:num w:numId="14" w16cid:durableId="589195225">
    <w:abstractNumId w:val="9"/>
  </w:num>
  <w:num w:numId="15" w16cid:durableId="2142109796">
    <w:abstractNumId w:val="14"/>
  </w:num>
  <w:num w:numId="16" w16cid:durableId="1341275408">
    <w:abstractNumId w:val="7"/>
  </w:num>
  <w:num w:numId="17" w16cid:durableId="237836304">
    <w:abstractNumId w:val="11"/>
  </w:num>
  <w:num w:numId="18" w16cid:durableId="394280755">
    <w:abstractNumId w:val="20"/>
  </w:num>
  <w:num w:numId="19" w16cid:durableId="973874817">
    <w:abstractNumId w:val="17"/>
  </w:num>
  <w:num w:numId="20" w16cid:durableId="928345071">
    <w:abstractNumId w:val="2"/>
  </w:num>
  <w:num w:numId="21" w16cid:durableId="193931000">
    <w:abstractNumId w:val="5"/>
  </w:num>
  <w:num w:numId="22" w16cid:durableId="2129159327">
    <w:abstractNumId w:val="0"/>
  </w:num>
  <w:num w:numId="23" w16cid:durableId="1350529344">
    <w:abstractNumId w:val="22"/>
  </w:num>
  <w:num w:numId="24" w16cid:durableId="547227569">
    <w:abstractNumId w:val="10"/>
  </w:num>
  <w:num w:numId="25" w16cid:durableId="1000084459">
    <w:abstractNumId w:val="13"/>
  </w:num>
  <w:num w:numId="26" w16cid:durableId="1176187447">
    <w:abstractNumId w:val="8"/>
  </w:num>
  <w:num w:numId="27" w16cid:durableId="1161848388">
    <w:abstractNumId w:val="4"/>
  </w:num>
  <w:num w:numId="28" w16cid:durableId="160480426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73FD1"/>
    <w:rsid w:val="0009326F"/>
    <w:rsid w:val="0014054D"/>
    <w:rsid w:val="00142529"/>
    <w:rsid w:val="001539FA"/>
    <w:rsid w:val="00186EAE"/>
    <w:rsid w:val="002100DD"/>
    <w:rsid w:val="002247EF"/>
    <w:rsid w:val="003662F2"/>
    <w:rsid w:val="00375403"/>
    <w:rsid w:val="00400CB6"/>
    <w:rsid w:val="00420487"/>
    <w:rsid w:val="00445D24"/>
    <w:rsid w:val="00484CDE"/>
    <w:rsid w:val="004B693C"/>
    <w:rsid w:val="004E6A97"/>
    <w:rsid w:val="00501CC2"/>
    <w:rsid w:val="0051770C"/>
    <w:rsid w:val="00574111"/>
    <w:rsid w:val="00577352"/>
    <w:rsid w:val="00583C9F"/>
    <w:rsid w:val="00597ADC"/>
    <w:rsid w:val="005F3D5A"/>
    <w:rsid w:val="00644920"/>
    <w:rsid w:val="006A3537"/>
    <w:rsid w:val="00726263"/>
    <w:rsid w:val="007335CC"/>
    <w:rsid w:val="00762573"/>
    <w:rsid w:val="007F74BC"/>
    <w:rsid w:val="0084014D"/>
    <w:rsid w:val="008B419B"/>
    <w:rsid w:val="00912ACB"/>
    <w:rsid w:val="0094670D"/>
    <w:rsid w:val="0095092E"/>
    <w:rsid w:val="009573DD"/>
    <w:rsid w:val="00973E7F"/>
    <w:rsid w:val="009A0740"/>
    <w:rsid w:val="009C1C06"/>
    <w:rsid w:val="009C7D06"/>
    <w:rsid w:val="009E6CA2"/>
    <w:rsid w:val="009F3B3F"/>
    <w:rsid w:val="00A368D6"/>
    <w:rsid w:val="00AC0A86"/>
    <w:rsid w:val="00AC2BA1"/>
    <w:rsid w:val="00AF3770"/>
    <w:rsid w:val="00C908BE"/>
    <w:rsid w:val="00C96F4E"/>
    <w:rsid w:val="00D1318A"/>
    <w:rsid w:val="00D53CF6"/>
    <w:rsid w:val="00D5677A"/>
    <w:rsid w:val="00D90BC7"/>
    <w:rsid w:val="00DA65F2"/>
    <w:rsid w:val="00DB684D"/>
    <w:rsid w:val="00DF0AE9"/>
    <w:rsid w:val="00DF7A5C"/>
    <w:rsid w:val="00E65466"/>
    <w:rsid w:val="00E779D1"/>
    <w:rsid w:val="00E93098"/>
    <w:rsid w:val="00EC3C96"/>
    <w:rsid w:val="00F04ED0"/>
    <w:rsid w:val="00F568D7"/>
    <w:rsid w:val="00F8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5092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DD"/>
  </w:style>
  <w:style w:type="paragraph" w:styleId="Footer">
    <w:name w:val="footer"/>
    <w:basedOn w:val="Normal"/>
    <w:link w:val="Foot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Cloud Misconfigurations</vt:lpstr>
    </vt:vector>
  </TitlesOfParts>
  <Company>My Company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Third-Party Risks</dc:title>
  <dc:subject/>
  <dc:creator>Rick Abraham</dc:creator>
  <cp:keywords/>
  <dc:description/>
  <cp:lastModifiedBy>Rick Abraham</cp:lastModifiedBy>
  <cp:revision>18</cp:revision>
  <dcterms:created xsi:type="dcterms:W3CDTF">2024-11-15T19:42:00Z</dcterms:created>
  <dcterms:modified xsi:type="dcterms:W3CDTF">2024-11-15T23:43:00Z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