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Microsoft YaHei" w:hAnsi="Microsoft YaHei" w:eastAsia="Microsoft YaHei"/>
          <w:b/>
          <w:color w:val="164E63"/>
          <w:sz w:val="48"/>
        </w:rPr>
        <w:t>唐长安城知识图谱</w:t>
      </w:r>
    </w:p>
    <w:p>
      <w:pPr>
        <w:jc w:val="center"/>
      </w:pPr>
      <w:r>
        <w:rPr>
          <w:rFonts w:ascii="Microsoft YaHei" w:hAnsi="Microsoft YaHei" w:eastAsia="Microsoft YaHei"/>
          <w:b/>
          <w:color w:val="1F6475"/>
          <w:sz w:val="34"/>
        </w:rPr>
        <w:t>三人全量提取操作手册</w:t>
      </w:r>
    </w:p>
    <w:p>
      <w:pPr>
        <w:jc w:val="center"/>
      </w:pPr>
      <w:r>
        <w:t>成员A为负责人；成员B、C为协作者 · 更新于2026-08-14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22"/>
              </w:rPr>
              <w:t>一句话原则：A分配与合并，B/C按文献完整提取；先复用编号，后集中审核，审核后才发布。</w:t>
            </w:r>
          </w:p>
        </w:tc>
      </w:tr>
    </w:tbl>
    <w:p>
      <w:pPr>
        <w:pStyle w:val="Heading1"/>
      </w:pPr>
      <w:r>
        <w:t>一、三人分别做什么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3137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137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权限边界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A（负责人）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分配文献和编号段；维护协作表；集中查重、审核、合并、平台导入。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可分配编号与审批；不应替代B/C完成其已领取文献的摘录。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B（协作者）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按分配文献完整提取来源、片段、实体、关系、专题表和研究解释。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使用3000编号段；不得自行发布、改号或合并实体。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C（协作者）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按分配文献完整提取来源、片段、实体、关系、专题表和研究解释。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使用4000编号段；不得自行发布、改号或合并实体。</w:t>
            </w:r>
          </w:p>
        </w:tc>
      </w:tr>
    </w:tbl>
    <w:p>
      <w:pPr>
        <w:pStyle w:val="Heading1"/>
      </w:pPr>
      <w:r>
        <w:t>二、编号怎么用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1882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82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片段</w:t>
            </w:r>
          </w:p>
        </w:tc>
        <w:tc>
          <w:tcPr>
            <w:tcW w:type="dxa" w:w="1882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新实体</w:t>
            </w:r>
          </w:p>
        </w:tc>
        <w:tc>
          <w:tcPr>
            <w:tcW w:type="dxa" w:w="1882"/>
            <w:shd w:fill="164E6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人工关系</w:t>
            </w:r>
          </w:p>
        </w:tc>
      </w:tr>
      <w:tr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A（负责人）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TC-REF-0200—0299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TC-CHUNK-2000—2999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各前缀-2000—2499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TC-REL-2000—2999</w:t>
            </w:r>
          </w:p>
        </w:tc>
      </w:tr>
      <w:tr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B（协作者）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TC-REF-0300—0399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TC-CHUNK-3000—3999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各前缀-3000—3499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TC-REL-3000—3999</w:t>
            </w:r>
          </w:p>
        </w:tc>
      </w:tr>
      <w:tr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C（协作者）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TC-REF-0400—0499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TC-CHUNK-4000—4999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各前缀-4000—4499</w:t>
            </w:r>
          </w:p>
        </w:tc>
        <w:tc>
          <w:tcPr>
            <w:tcW w:type="dxa" w:w="188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TC-REL-4000—4999</w:t>
            </w:r>
          </w:p>
        </w:tc>
      </w:tr>
    </w:tbl>
    <w:p>
      <w:r>
        <w:rPr>
          <w:rFonts w:ascii="Microsoft YaHei" w:hAnsi="Microsoft YaHei" w:eastAsia="Microsoft YaHei"/>
          <w:b/>
          <w:color w:val="164E63"/>
          <w:sz w:val="21"/>
        </w:rPr>
        <w:t>公共对象仍共用原编号：</w:t>
      </w:r>
      <w:r>
        <w:rPr>
          <w:rFonts w:ascii="Microsoft YaHei" w:hAnsi="Microsoft YaHei" w:eastAsia="Microsoft YaHei"/>
          <w:b w:val="0"/>
          <w:color w:val="222222"/>
          <w:sz w:val="21"/>
        </w:rPr>
        <w:t>108坊、25道路、5水渠、20城门、8尺度比较、10功能规则，共176个。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6D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A5A00"/>
                <w:sz w:val="20"/>
              </w:rPr>
              <w:t>“待补字段”表示编号和身份已经锁定，不代表审核通过或已发布。TC-RULE-0001—0010暂只复用编号和名称，来源和证据要重新核对。</w:t>
            </w:r>
          </w:p>
        </w:tc>
      </w:tr>
    </w:tbl>
    <w:p>
      <w:pPr>
        <w:pStyle w:val="Heading1"/>
      </w:pPr>
      <w:r>
        <w:t>三、每篇文献的流程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A在协作表任务分配表中指定主提取者（B或C，或A本人）和专题复核人。</w:t>
      </w:r>
    </w:p>
    <w:p>
      <w:pPr>
        <w:pStyle w:val="ListNumber"/>
      </w:pPr>
      <w:r>
        <w:t>主提取者先查协作登记表的主实体登记，再复制正式录入模板作为个人批次文件；卷一工作簿仅供完整批次参考，不可覆盖。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依次填写：来源→史料片段→实体→关系→专题表→研究解释。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新对象只使用自己的编号段；已登记对象直接复用；不确定时标“待查重”。</w:t>
      </w:r>
    </w:p>
    <w:p>
      <w:pPr>
        <w:pStyle w:val="ListNumber"/>
      </w:pPr>
      <w:r>
        <w:t>一篇文献或20—30条记录后，提交审核摘要与批次交付检查；由A集中查重、审核和合并。全卷完成后再统一转换、导入和发布。</w:t>
      </w:r>
    </w:p>
    <w:p>
      <w:pPr>
        <w:pStyle w:val="Heading1"/>
      </w:pPr>
      <w:r>
        <w:t>四、最容易出错的地方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同一文献：</w:t>
      </w:r>
      <w:r>
        <w:rPr>
          <w:rFonts w:ascii="Microsoft YaHei" w:hAnsi="Microsoft YaHei" w:eastAsia="Microsoft YaHei"/>
          <w:b w:val="0"/>
          <w:color w:val="222222"/>
          <w:sz w:val="21"/>
        </w:rPr>
        <w:t>不要由B、C按专题拆分摘录；一篇文献只指定一位主提取者。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同一对象：</w:t>
      </w:r>
      <w:r>
        <w:rPr>
          <w:rFonts w:ascii="Microsoft YaHei" w:hAnsi="Microsoft YaHei" w:eastAsia="Microsoft YaHei"/>
          <w:b w:val="0"/>
          <w:color w:val="222222"/>
          <w:sz w:val="21"/>
        </w:rPr>
        <w:t>查到公共编号就复用，不能因为自己有新编号段而再建一个。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审核：</w:t>
      </w:r>
      <w:r>
        <w:rPr>
          <w:rFonts w:ascii="Microsoft YaHei" w:hAnsi="Microsoft YaHei" w:eastAsia="Microsoft YaHei"/>
          <w:b w:val="0"/>
          <w:color w:val="222222"/>
          <w:sz w:val="21"/>
        </w:rPr>
        <w:t>B/C不能将自己的批次改为审核通过或已发布；A也应保留复核记录。</w:t>
      </w:r>
    </w:p>
    <w:p>
      <w:r>
        <w:t>自动关系：TC-REL-AUTO和TC-SPATIAL不占任何人的人工关系号。专题表完成统一转换后，实体表和关系表成为权威出口，不能再删除AUTO关系或重复生成同义边。</w:t>
      </w:r>
    </w:p>
    <w:p>
      <w:pPr>
        <w:pStyle w:val="Heading1"/>
      </w:pPr>
      <w:r>
        <w:t>五、给AI的提示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请使用 knowledge-graph-extraction v4.1 处理我提供的唐长安城文献。我是成员B或成员C，batch_id为：___，可用编号段为：___。请先读取协作登记表，复用公共对象编号。按来源→片段→实体→关系→专题表→研究解释的小批量顺序提取。所有新增记录保持待审核；完成一篇文献或20—30条后停止，输出审核摘要、复用/新建/待查重清单及待确认项。</w:t>
            </w:r>
          </w:p>
        </w:tc>
      </w:tr>
    </w:tbl>
    <w:p>
      <w:pPr>
        <w:pStyle w:val="Heading1"/>
      </w:pPr>
      <w:r>
        <w:t>六、禁止事项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0"/>
        </w:rPr>
        <w:t>不要跨编号段用号。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0"/>
        </w:rPr>
        <w:t>不要把同一篇文献拆给多人分专题摘录。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0"/>
        </w:rPr>
        <w:t>不要只填专题表，漏掉来源、片段、实体或关系。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0"/>
        </w:rPr>
        <w:t>不要猜测坐标、宽度、名称或关系。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0"/>
        </w:rPr>
        <w:t>不要把个人批次直接导入平台或发布。</w:t>
      </w:r>
    </w:p>
    <w:p>
      <w:pPr>
        <w:jc w:val="center"/>
      </w:pPr>
      <w:r>
        <w:rPr>
          <w:rFonts w:ascii="Microsoft YaHei" w:hAnsi="Microsoft YaHei" w:eastAsia="Microsoft YaHei"/>
          <w:b/>
          <w:color w:val="164E63"/>
          <w:sz w:val="22"/>
        </w:rPr>
        <w:t>不确定时停在“待确认”，由成员A组织判断。</w:t>
      </w:r>
    </w:p>
    <w:p>
      <w:pPr>
        <w:pStyle w:val="Heading1"/>
      </w:pPr>
      <w:r>
        <w:t>七、卷一完整批次怎么参考</w:t>
      </w:r>
    </w:p>
    <w:p>
      <w:pPr>
        <w:pStyle w:val="ListBullet"/>
      </w:pPr>
      <w:r>
        <w:t>05-已完成批次中的《唐两京城坊考》卷一工作簿是已审核的完整范例：包含2个来源、50个连续史料片段、574个实体和886条关系。</w:t>
      </w:r>
    </w:p>
    <w:p>
      <w:pPr>
        <w:pStyle w:val="ListBullet"/>
      </w:pPr>
      <w:r>
        <w:t>参考它的片段完整度、限定标准名、异文保留、专题表与实体关系同步方式；不要复制其编号给其他文献，也不要在该文件上继续录入卷二。</w:t>
      </w:r>
    </w:p>
    <w:p>
      <w:pPr>
        <w:pStyle w:val="ListBullet"/>
      </w:pPr>
      <w:r>
        <w:t>卷一中18条待考古或复原图核实的记录保持未发布，说明“已录入”不等于“可以公开”。</w:t>
      </w:r>
    </w:p>
    <w:p>
      <w:pPr>
        <w:pStyle w:val="Heading1"/>
      </w:pPr>
      <w:r>
        <w:t>八、负责人A的合并与发布检查</w:t>
      </w:r>
    </w:p>
    <w:p>
      <w:pPr>
        <w:pStyle w:val="ListBullet"/>
      </w:pPr>
      <w:r>
        <w:t>核对工作簿与导入包的来源、片段、实体、关系数量完全一致，转换结果必须为0错误；警告需要解释或修复。</w:t>
      </w:r>
    </w:p>
    <w:p>
      <w:pPr>
        <w:pStyle w:val="ListBullet"/>
      </w:pPr>
      <w:r>
        <w:t>导入前确认目标容器和数据库属于tang-changan-test隔离测试实例，并记录导入前数量和稳定编号重叠数。</w:t>
      </w:r>
    </w:p>
    <w:p>
      <w:pPr>
        <w:pStyle w:val="ListBullet"/>
      </w:pPr>
      <w:r>
        <w:t>先登记审核，再按白名单选择性发布；待考古、待复原图或存在异文冲突的记录不得随同公开。</w:t>
      </w:r>
    </w:p>
    <w:p>
      <w:pPr>
        <w:pStyle w:val="ListBullet"/>
      </w:pPr>
      <w:r>
        <w:t>网页验收至少抽查管理端批次、实体检索、一跳图谱、关系方向和来源证据；古籍原文需同时测试简体与繁体关键词。</w:t>
      </w:r>
    </w:p>
    <w:p>
      <w:pPr>
        <w:pStyle w:val="ListBullet"/>
      </w:pPr>
      <w:r>
        <w:t>发布前扫描标准名重复前缀，例如“兴庆宫兴庆宫××”；修正名称时同步实体表、专题表和关系端点显示名。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内部协作文件 · 三人版 · 2026-08-14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F6B73"/>
        <w:sz w:val="17"/>
      </w:rPr>
      <w:t>唐长安城知识图谱 · 三人协作包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4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