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4.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metagenómico</w:t>
      </w:r>
      <w:r>
        <w:t xml:space="preserve"> </w:t>
      </w:r>
      <w:r>
        <w:t xml:space="preserve">de</w:t>
      </w:r>
      <w:r>
        <w:t xml:space="preserve"> </w:t>
      </w:r>
      <w:r>
        <w:t xml:space="preserve">la</w:t>
      </w:r>
      <w:r>
        <w:t xml:space="preserve"> </w:t>
      </w:r>
      <w:r>
        <w:t xml:space="preserve">diversidad</w:t>
      </w:r>
      <w:r>
        <w:t xml:space="preserve"> </w:t>
      </w:r>
      <w:r>
        <w:t xml:space="preserve">de</w:t>
      </w:r>
      <w:r>
        <w:t xml:space="preserve"> </w:t>
      </w:r>
      <w:r>
        <w:t xml:space="preserve">plancton</w:t>
      </w:r>
      <w:r>
        <w:t xml:space="preserve"> </w:t>
      </w:r>
      <w:r>
        <w:t xml:space="preserve">en</w:t>
      </w:r>
      <w:r>
        <w:t xml:space="preserve"> </w:t>
      </w:r>
      <w:r>
        <w:t xml:space="preserve">la</w:t>
      </w:r>
      <w:r>
        <w:t xml:space="preserve"> </w:t>
      </w:r>
      <w:r>
        <w:t xml:space="preserve">zona</w:t>
      </w:r>
      <w:r>
        <w:t xml:space="preserve"> </w:t>
      </w:r>
      <w:r>
        <w:t xml:space="preserve">epipelágica</w:t>
      </w:r>
      <w:r>
        <w:t xml:space="preserve"> </w:t>
      </w:r>
      <w:r>
        <w:t xml:space="preserve">del</w:t>
      </w:r>
      <w:r>
        <w:t xml:space="preserve"> </w:t>
      </w:r>
      <w:r>
        <w:t xml:space="preserve">golfo</w:t>
      </w:r>
      <w:r>
        <w:t xml:space="preserve"> </w:t>
      </w:r>
      <w:r>
        <w:t xml:space="preserve">de</w:t>
      </w:r>
      <w:r>
        <w:t xml:space="preserve"> </w:t>
      </w:r>
      <w:r>
        <w:t xml:space="preserve">México</w:t>
      </w:r>
    </w:p>
    <w:p>
      <w:pPr>
        <w:pStyle w:val="Author"/>
      </w:pPr>
      <w:r>
        <w:t xml:space="preserve">Grupo</w:t>
      </w:r>
      <w:r>
        <w:t xml:space="preserve"> </w:t>
      </w:r>
      <w:r>
        <w:t xml:space="preserve">Bioinformatica</w:t>
      </w:r>
    </w:p>
    <w:p>
      <w:pPr>
        <w:pStyle w:val="Date"/>
      </w:pPr>
      <w:r>
        <w:t xml:space="preserve">Informe</w:t>
      </w:r>
      <w:r>
        <w:t xml:space="preserve"> </w:t>
      </w:r>
      <w:r>
        <w:t xml:space="preserve">2018-08-09</w:t>
      </w:r>
    </w:p>
    <w:p>
      <w:pPr>
        <w:pStyle w:val="Heading2"/>
      </w:pPr>
      <w:bookmarkStart w:id="21" w:name="generalidad-del-analisis"/>
      <w:bookmarkEnd w:id="21"/>
      <w:r>
        <w:t xml:space="preserve">Generalidad del análisis</w:t>
      </w:r>
    </w:p>
    <w:p>
      <w:pPr>
        <w:pStyle w:val="FirstParagraph"/>
      </w:pPr>
      <w:r>
        <w:t xml:space="preserve">Los datos provienen de muestras obtenidas en</w:t>
      </w:r>
      <w:r>
        <w:t xml:space="preserve"> </w:t>
      </w:r>
      <w:r>
        <w:rPr>
          <w:i/>
        </w:rPr>
        <w:t xml:space="preserve">42</w:t>
      </w:r>
      <w:r>
        <w:t xml:space="preserve"> </w:t>
      </w:r>
      <w:r>
        <w:t xml:space="preserve">estaciones que cubrió el crucero exploratorio</w:t>
      </w:r>
      <w:r>
        <w:t xml:space="preserve"> </w:t>
      </w:r>
      <w:r>
        <w:rPr>
          <w:i/>
        </w:rPr>
        <w:t xml:space="preserve">XIXIMI-06</w:t>
      </w:r>
      <w:r>
        <w:t xml:space="preserve"> </w:t>
      </w:r>
      <w:r>
        <w:t xml:space="preserve">Para cada muestra se generaron amplicones de la región v9 del gen ribosomal 18S. Los amplicones fueron secuenciados desde ambos extremos generando secuencias con una longitud de 150 pares de bases (pb) cada uno, en un secuenciador MiSeq de Illumina (del cicese-cigom). Los siguientes resultados corresponden al análisis bioinformático de las secuencias generadas.</w:t>
      </w:r>
    </w:p>
    <w:p>
      <w:pPr>
        <w:pStyle w:val="BodyText"/>
      </w:pPr>
      <w:r>
        <w:t xml:space="preserve">El resumen del análisis se divide entre en tres etapas cruciales:</w:t>
      </w:r>
      <w:r>
        <w:t xml:space="preserve"> </w:t>
      </w:r>
      <w:r>
        <w:rPr>
          <w:i/>
        </w:rPr>
        <w:t xml:space="preserve">Pre-procesamiento y alineamiento de lecturas.</w:t>
      </w:r>
      <w:r>
        <w:rPr>
          <w:i/>
        </w:rPr>
        <w:t xml:space="preserve"> </w:t>
      </w:r>
      <w:r>
        <w:t xml:space="preserve">Identificación, abundancia y clasificación taxonómica de OTUs.</w:t>
      </w:r>
      <w:r>
        <w:t xml:space="preserve"> </w:t>
      </w:r>
      <w:r>
        <w:t xml:space="preserve">*Estimación de los índices de diversidad y presentación gráfica resultados.</w:t>
      </w:r>
    </w:p>
    <w:p>
      <w:pPr>
        <w:pStyle w:val="Heading3"/>
      </w:pPr>
      <w:bookmarkStart w:id="22" w:name="pre-procesamiento-y-alineamiento-de-lecturas"/>
      <w:bookmarkEnd w:id="22"/>
      <w:r>
        <w:t xml:space="preserve">Pre-procesamiento y alineamiento de lecturas</w:t>
      </w:r>
    </w:p>
    <w:p>
      <w:pPr>
        <w:pStyle w:val="FirstParagraph"/>
      </w:pPr>
      <w:r>
        <w:t xml:space="preserve">Durante el pre-procesamiento se demultiplexa y eliminan secuencias ambiguas y de puntaje de calidad phred menor a 20. La siguiente imagen resume las métricas de las bibliotecas illumina obtenidas para el crucero exploratorio (Figura 1 y 2).</w:t>
      </w:r>
    </w:p>
    <w:p>
      <w:pPr>
        <w:pStyle w:val="FigureWithCaption"/>
      </w:pPr>
      <w:r>
        <w:drawing>
          <wp:inline>
            <wp:extent cx="5334000" cy="4267200"/>
            <wp:effectExtent b="0" l="0" r="0" t="0"/>
            <wp:docPr descr="Figura 1. Promedio del puntaje de calidad Phred a lo largo de las lecturas de las bibliotecas. Bibliotecas Forward (R1) y Reverse (R2)." title="" id="1" name="Picture"/>
            <a:graphic>
              <a:graphicData uri="http://schemas.openxmlformats.org/drawingml/2006/picture">
                <pic:pic>
                  <pic:nvPicPr>
                    <pic:cNvPr descr="templado_informe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1. Promedio del puntaje de calidad Phred a lo largo de las lecturas de las bibliotecas. Bibliotecas Forward (R1) y Reverse (R2).</w:t>
      </w:r>
    </w:p>
    <w:p>
      <w:pPr>
        <w:pStyle w:val="FigureWithCaption"/>
      </w:pPr>
      <w:r>
        <w:drawing>
          <wp:inline>
            <wp:extent cx="5334000" cy="4267200"/>
            <wp:effectExtent b="0" l="0" r="0" t="0"/>
            <wp:docPr descr="Figura 2. Promedio del puntaje de calidad Phred por posición de nucleótido a lo largo de las lectura. Bibliotecas Forward (R1) y Reverse (R2)." title="" id="1" name="Picture"/>
            <a:graphic>
              <a:graphicData uri="http://schemas.openxmlformats.org/drawingml/2006/picture">
                <pic:pic>
                  <pic:nvPicPr>
                    <pic:cNvPr descr="templado_informe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2. Promedio del puntaje de calidad Phred por posición de nucleótido a lo largo de las lectura. Bibliotecas Forward (R1) y Reverse (R2).</w:t>
      </w:r>
    </w:p>
    <w:p>
      <w:pPr>
        <w:pStyle w:val="BodyText"/>
      </w:pPr>
      <w:r>
        <w:t xml:space="preserve">El análisis metagenómico se llevó a cabo en el cluster de cómputo OMICA-cicese mediante el programa mothur version 1.39.5. La tubería del análisis fue adaptada del sugerido por Schloss et al. 2013 para amplicones de la región v9 del gen 18S rRNA secuenciados por Illumina. Después del pre-procesamiento, las lecturas se transformaron a un set de secuencias unicas para implementar el alineamiento con la región v9 de la base de secuencias de referencia Silva v128 (Oliver-Glockner et. al. 2014). Entre aquellas que presentaron homología con la base de referencia mayor al 50% en identidad se implementa un paso de filtrado para eliminar falsos homopolímeros (max=10) y se volvieron a identificar secuencia únicas, posteriormente se quitaron aquellas secuencias que podrían tener al menos 2 cambios en nucleótidos, en base a la matriz generada en el alineamiento (Figura 3).</w:t>
      </w:r>
    </w:p>
    <w:p>
      <w:pPr>
        <w:pStyle w:val="Heading2"/>
      </w:pPr>
      <w:bookmarkStart w:id="25" w:name="identificacion-abundancia-y-clasificacion-taxonomica-de-otus"/>
      <w:bookmarkEnd w:id="25"/>
      <w:r>
        <w:t xml:space="preserve">Identificación, abundancia y clasificación taxonómica de OTUs</w:t>
      </w:r>
    </w:p>
    <w:p>
      <w:pPr>
        <w:pStyle w:val="FirstParagraph"/>
      </w:pPr>
      <w:r>
        <w:t xml:space="preserve">Se removieron quimeras implementando la herramienta VSEARCH (Mahé F. et. al., 2016); las secuencias resultantes fueron agrupadas mediante el algoritmo Opticlust (Schloss et. al., 2017) tomando un parámetro de 97% de similitud entre secuencias para ser consideradas pertenecientes una unidad taxonómica operacional (OTU). Se realizó la asignación taxonómica de las secuencias procesadas usando un algoritmo de clasificación de Bayes ingenuo (Wang, 2007) y se obtuvo la taxonomía consenso para cada OTU. La base de datos para asignación taxonómica está compuesta de las secuencias de la base de datos W2-PR2 (de Vargas, 2015) que fue generada en un estudio metagenómico de amplio muestreo (descargada de su sitio web el 2 de Mayo de 2017) en la que se implementó la nomenclatura utilizada en la base de datos del registro mundial de especies marinas: WORMS (WoRMS Editorial Board, 2017). La figura 3 resume la abundancia de secuencias obtenidas a través del análisis metagenómico :</w:t>
      </w:r>
    </w:p>
    <w:p>
      <w:pPr>
        <w:pStyle w:val="Heading2"/>
      </w:pPr>
      <w:bookmarkStart w:id="26" w:name="estimacion-de-los-indices-de-diversidad-y-presentacion-grafica-resultados"/>
      <w:bookmarkEnd w:id="26"/>
      <w:r>
        <w:t xml:space="preserve">Estimación de los índices de diversidad y presentación gráfica resultados</w:t>
      </w:r>
    </w:p>
    <w:p>
      <w:pPr>
        <w:pStyle w:val="FirstParagraph"/>
      </w:pPr>
      <w:r>
        <w:t xml:space="preserve">La estimación de los índices de diversidad y la generación de representaciones gráficas de los resultados del análisis metagenómico, se realizó en R v3.4 (R Core Team, 2017) utilizando diferentes paquetes especializados en análisis de datos ecológicos y gráficos.</w:t>
      </w:r>
    </w:p>
    <w:p>
      <w:pPr>
        <w:pStyle w:val="BodyText"/>
      </w:pPr>
      <w:r>
        <w:t xml:space="preserve">Para obtener una perspectiva biológica de la las comunidades planctónicas se calculó la abundancia relativa a nivel taxón los OTUs obtenidos por estación. El siguiente grupo de figuras (Figura 4,5,6,7 y 8) muestran en mapas de calor la composición de las comunidades a los diferentes rangos taxonómicos indicados (Filo, Clase, Orden, Familia, Género). Se muestran únicamente aquellos taxones cuya abundancia relativa supera el porcentaje señalado. Para una mejor visualización de los grupos de organismos en la figura correspondiente al rango Género, los organismos se agrupan e indican sus rangos Filos y Clase correspondientes, en las columnas del panel izquierdo (Figura 8).</w:t>
      </w:r>
    </w:p>
    <w:p>
      <w:pPr>
        <w:pStyle w:val="BodyText"/>
      </w:pPr>
      <w:r>
        <w:t xml:space="preserve">Aquellos taxones denominados como</w:t>
      </w:r>
      <w:r>
        <w:t xml:space="preserve"> </w:t>
      </w:r>
      <w:r>
        <w:t xml:space="preserve">‘</w:t>
      </w:r>
      <w:r>
        <w:t xml:space="preserve">unclassified</w:t>
      </w:r>
      <w:r>
        <w:t xml:space="preserve">’</w:t>
      </w:r>
      <w:r>
        <w:t xml:space="preserve"> </w:t>
      </w:r>
      <w:r>
        <w:t xml:space="preserve">denotan que no es posible asignar un nombre al rango taxonómico actual y en cambio indican el nombre del último rango asignado posible. Esta tendencia se acentúa conforme se baja de rango taxonómico (sentido Reino a Especie) y depende del grupo de organismos evaluado.</w:t>
      </w:r>
    </w:p>
    <w:p>
      <w:pPr>
        <w:pStyle w:val="FigureWithCaption"/>
      </w:pPr>
      <w:r>
        <w:drawing>
          <wp:inline>
            <wp:extent cx="5334000" cy="4267200"/>
            <wp:effectExtent b="0" l="0" r="0" t="0"/>
            <wp:docPr descr="Figura 4. Composición de las comunidades a nivel Filo a lo largo de las estaciones. Abundancia relativa de los taxones que alcanzan más del 1% en la comunidad." title="" id="1" name="Picture"/>
            <a:graphic>
              <a:graphicData uri="http://schemas.openxmlformats.org/drawingml/2006/picture">
                <pic:pic>
                  <pic:nvPicPr>
                    <pic:cNvPr descr="templado_inform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4. Composición de las comunidades a nivel Filo a lo largo de las estaciones. Abundancia relativa de los taxones que alcanzan más del 1% en la comunidad.</w:t>
      </w:r>
    </w:p>
    <w:p>
      <w:pPr>
        <w:pStyle w:val="FigureWithCaption"/>
      </w:pPr>
      <w:r>
        <w:drawing>
          <wp:inline>
            <wp:extent cx="5334000" cy="4267200"/>
            <wp:effectExtent b="0" l="0" r="0" t="0"/>
            <wp:docPr descr="Figura 5. Composición de las comunidades al nivel Clase a lo largo de las estaciones. Abundancia relativa de los taxones que alcanzan más del 2 % en la comunidad." title="" id="1" name="Picture"/>
            <a:graphic>
              <a:graphicData uri="http://schemas.openxmlformats.org/drawingml/2006/picture">
                <pic:pic>
                  <pic:nvPicPr>
                    <pic:cNvPr descr="templado_informe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5. Composición de las comunidades al nivel Clase a lo largo de las estaciones. Abundancia relativa de los taxones que alcanzan más del 2 % en la comunidad.</w:t>
      </w:r>
    </w:p>
    <w:p>
      <w:pPr>
        <w:pStyle w:val="FigureWithCaption"/>
      </w:pPr>
      <w:r>
        <w:drawing>
          <wp:inline>
            <wp:extent cx="5334000" cy="7467600"/>
            <wp:effectExtent b="0" l="0" r="0" t="0"/>
            <wp:docPr descr="Figura 6. Composición de las comunidades a nivel Orden a lo largo de las estaciones. Abundancia relativa de los taxones que alcanzan más del 5 % en la comunidad." title="" id="1" name="Picture"/>
            <a:graphic>
              <a:graphicData uri="http://schemas.openxmlformats.org/drawingml/2006/picture">
                <pic:pic>
                  <pic:nvPicPr>
                    <pic:cNvPr descr="templado_informe_files/figure-docx/unnamed-chunk-7-1.png" id="0" name="Picture"/>
                    <pic:cNvPicPr>
                      <a:picLocks noChangeArrowheads="1" noChangeAspect="1"/>
                    </pic:cNvPicPr>
                  </pic:nvPicPr>
                  <pic:blipFill>
                    <a:blip r:embed="rId29"/>
                    <a:stretch>
                      <a:fillRect/>
                    </a:stretch>
                  </pic:blipFill>
                  <pic:spPr bwMode="auto">
                    <a:xfrm>
                      <a:off x="0" y="0"/>
                      <a:ext cx="5334000" cy="7467600"/>
                    </a:xfrm>
                    <a:prstGeom prst="rect">
                      <a:avLst/>
                    </a:prstGeom>
                    <a:noFill/>
                    <a:ln w="9525">
                      <a:noFill/>
                      <a:headEnd/>
                      <a:tailEnd/>
                    </a:ln>
                  </pic:spPr>
                </pic:pic>
              </a:graphicData>
            </a:graphic>
          </wp:inline>
        </w:drawing>
      </w:r>
    </w:p>
    <w:p>
      <w:pPr>
        <w:pStyle w:val="ImageCaption"/>
      </w:pPr>
      <w:r>
        <w:t xml:space="preserve">Figura 6. Composición de las comunidades a nivel Orden a lo largo de las estaciones. Abundancia relativa de los taxones que alcanzan más del 5 % en la comunidad.</w:t>
      </w:r>
    </w:p>
    <w:p>
      <w:pPr>
        <w:pStyle w:val="FigureWithCaption"/>
      </w:pPr>
      <w:r>
        <w:drawing>
          <wp:inline>
            <wp:extent cx="5334000" cy="7467600"/>
            <wp:effectExtent b="0" l="0" r="0" t="0"/>
            <wp:docPr descr="Figura 7. Composición de las comunidades a nivel Familia a lo largo de las estaciones. Abundancia relativa de los taxones que alcanzan más del 5 % en la comunidad" title="" id="1" name="Picture"/>
            <a:graphic>
              <a:graphicData uri="http://schemas.openxmlformats.org/drawingml/2006/picture">
                <pic:pic>
                  <pic:nvPicPr>
                    <pic:cNvPr descr="templado_informe_files/figure-docx/unnamed-chunk-8-1.png" id="0" name="Picture"/>
                    <pic:cNvPicPr>
                      <a:picLocks noChangeArrowheads="1" noChangeAspect="1"/>
                    </pic:cNvPicPr>
                  </pic:nvPicPr>
                  <pic:blipFill>
                    <a:blip r:embed="rId30"/>
                    <a:stretch>
                      <a:fillRect/>
                    </a:stretch>
                  </pic:blipFill>
                  <pic:spPr bwMode="auto">
                    <a:xfrm>
                      <a:off x="0" y="0"/>
                      <a:ext cx="5334000" cy="7467600"/>
                    </a:xfrm>
                    <a:prstGeom prst="rect">
                      <a:avLst/>
                    </a:prstGeom>
                    <a:noFill/>
                    <a:ln w="9525">
                      <a:noFill/>
                      <a:headEnd/>
                      <a:tailEnd/>
                    </a:ln>
                  </pic:spPr>
                </pic:pic>
              </a:graphicData>
            </a:graphic>
          </wp:inline>
        </w:drawing>
      </w:r>
    </w:p>
    <w:p>
      <w:pPr>
        <w:pStyle w:val="ImageCaption"/>
      </w:pPr>
      <w:r>
        <w:t xml:space="preserve">Figura 7. Composición de las comunidades a nivel Familia a lo largo de las estaciones. Abundancia relativa de los taxones que alcanzan más del 5 % en la comunidad</w:t>
      </w:r>
    </w:p>
    <w:p>
      <w:pPr>
        <w:pStyle w:val="FigureWithCaption"/>
      </w:pPr>
      <w:r>
        <w:drawing>
          <wp:inline>
            <wp:extent cx="5334000" cy="6400800"/>
            <wp:effectExtent b="0" l="0" r="0" t="0"/>
            <wp:docPr descr="Figura 8. Composición de las comunidades a nivel Género a lo largo de las estaciones. Abundancia relativa de los taxones que alcanzan más del 5% en la comunidad. Respectivamente, se indican sus rangos Filos y Clase correspondientes en las columnas del panel izquierdo" title="" id="1" name="Picture"/>
            <a:graphic>
              <a:graphicData uri="http://schemas.openxmlformats.org/drawingml/2006/picture">
                <pic:pic>
                  <pic:nvPicPr>
                    <pic:cNvPr descr="templado_informe_files/figure-docx/unnamed-chunk-9-1.png" id="0"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Figura 8. Composición de las comunidades a nivel Género a lo largo de las estaciones. Abundancia relativa de los taxones que alcanzan más del 5% en la comunidad. Respectivamente, se indican sus rangos Filos y Clase correspondientes en las columnas del panel izquierdo</w:t>
      </w:r>
    </w:p>
    <w:p>
      <w:pPr>
        <w:pStyle w:val="SourceCode"/>
      </w:pPr>
      <w:r>
        <w:rPr>
          <w:rStyle w:val="VerbatimChar"/>
        </w:rPr>
        <w:t xml:space="preserve">## rarefying sample 10_X06_A1_18S_AMB</w:t>
      </w:r>
      <w:r>
        <w:br w:type="textWrapping"/>
      </w:r>
      <w:r>
        <w:rPr>
          <w:rStyle w:val="VerbatimChar"/>
        </w:rPr>
        <w:t xml:space="preserve">## rarefying sample 10_X06_A2_18S_AMB</w:t>
      </w:r>
      <w:r>
        <w:br w:type="textWrapping"/>
      </w:r>
      <w:r>
        <w:rPr>
          <w:rStyle w:val="VerbatimChar"/>
        </w:rPr>
        <w:t xml:space="preserve">## rarefying sample 10_X06_B11_18S_AMB</w:t>
      </w:r>
      <w:r>
        <w:br w:type="textWrapping"/>
      </w:r>
      <w:r>
        <w:rPr>
          <w:rStyle w:val="VerbatimChar"/>
        </w:rPr>
        <w:t xml:space="preserve">## rarefying sample 10_X06_B12_18S_AMB</w:t>
      </w:r>
      <w:r>
        <w:br w:type="textWrapping"/>
      </w:r>
      <w:r>
        <w:rPr>
          <w:rStyle w:val="VerbatimChar"/>
        </w:rPr>
        <w:t xml:space="preserve">## rarefying sample 10_X06_B13_18S_AMB</w:t>
      </w:r>
      <w:r>
        <w:br w:type="textWrapping"/>
      </w:r>
      <w:r>
        <w:rPr>
          <w:rStyle w:val="VerbatimChar"/>
        </w:rPr>
        <w:t xml:space="preserve">## rarefying sample 10_X06_B15_18S_AMB</w:t>
      </w:r>
      <w:r>
        <w:br w:type="textWrapping"/>
      </w:r>
      <w:r>
        <w:rPr>
          <w:rStyle w:val="VerbatimChar"/>
        </w:rPr>
        <w:t xml:space="preserve">## rarefying sample 10_X06_B16_18S_AMB</w:t>
      </w:r>
      <w:r>
        <w:br w:type="textWrapping"/>
      </w:r>
      <w:r>
        <w:rPr>
          <w:rStyle w:val="VerbatimChar"/>
        </w:rPr>
        <w:t xml:space="preserve">## rarefying sample 10_X06_B17_18S_AMB</w:t>
      </w:r>
      <w:r>
        <w:br w:type="textWrapping"/>
      </w:r>
      <w:r>
        <w:rPr>
          <w:rStyle w:val="VerbatimChar"/>
        </w:rPr>
        <w:t xml:space="preserve">## rarefying sample 10_X06_C20_18S_AMB</w:t>
      </w:r>
      <w:r>
        <w:br w:type="textWrapping"/>
      </w:r>
      <w:r>
        <w:rPr>
          <w:rStyle w:val="VerbatimChar"/>
        </w:rPr>
        <w:t xml:space="preserve">## rarefying sample 10_X06_C21_18S_AMB</w:t>
      </w:r>
      <w:r>
        <w:br w:type="textWrapping"/>
      </w:r>
      <w:r>
        <w:rPr>
          <w:rStyle w:val="VerbatimChar"/>
        </w:rPr>
        <w:t xml:space="preserve">## rarefying sample 10_X06_C22_18S_AMB</w:t>
      </w:r>
      <w:r>
        <w:br w:type="textWrapping"/>
      </w:r>
      <w:r>
        <w:rPr>
          <w:rStyle w:val="VerbatimChar"/>
        </w:rPr>
        <w:t xml:space="preserve">## rarefying sample 10_X06_C23_18S_AMB</w:t>
      </w:r>
      <w:r>
        <w:br w:type="textWrapping"/>
      </w:r>
      <w:r>
        <w:rPr>
          <w:rStyle w:val="VerbatimChar"/>
        </w:rPr>
        <w:t xml:space="preserve">## rarefying sample 10_X06_C24_18S_AMB</w:t>
      </w:r>
      <w:r>
        <w:br w:type="textWrapping"/>
      </w:r>
      <w:r>
        <w:rPr>
          <w:rStyle w:val="VerbatimChar"/>
        </w:rPr>
        <w:t xml:space="preserve">## rarefying sample 10_X06_C25_18S_AMB</w:t>
      </w:r>
      <w:r>
        <w:br w:type="textWrapping"/>
      </w:r>
      <w:r>
        <w:rPr>
          <w:rStyle w:val="VerbatimChar"/>
        </w:rPr>
        <w:t xml:space="preserve">## rarefying sample 10_X06_D26_18S_AMB</w:t>
      </w:r>
      <w:r>
        <w:br w:type="textWrapping"/>
      </w:r>
      <w:r>
        <w:rPr>
          <w:rStyle w:val="VerbatimChar"/>
        </w:rPr>
        <w:t xml:space="preserve">## rarefying sample 10_X06_D27_18S_AMB</w:t>
      </w:r>
      <w:r>
        <w:br w:type="textWrapping"/>
      </w:r>
      <w:r>
        <w:rPr>
          <w:rStyle w:val="VerbatimChar"/>
        </w:rPr>
        <w:t xml:space="preserve">## rarefying sample 10_X06_D28_18S_AMB</w:t>
      </w:r>
      <w:r>
        <w:br w:type="textWrapping"/>
      </w:r>
      <w:r>
        <w:rPr>
          <w:rStyle w:val="VerbatimChar"/>
        </w:rPr>
        <w:t xml:space="preserve">## rarefying sample 10_X06_D29_18S_AMB</w:t>
      </w:r>
      <w:r>
        <w:br w:type="textWrapping"/>
      </w:r>
      <w:r>
        <w:rPr>
          <w:rStyle w:val="VerbatimChar"/>
        </w:rPr>
        <w:t xml:space="preserve">## rarefying sample 10_X06_D30_18S_AMB</w:t>
      </w:r>
      <w:r>
        <w:br w:type="textWrapping"/>
      </w:r>
      <w:r>
        <w:rPr>
          <w:rStyle w:val="VerbatimChar"/>
        </w:rPr>
        <w:t xml:space="preserve">## rarefying sample 10_X06_E32_18S_AMB</w:t>
      </w:r>
      <w:r>
        <w:br w:type="textWrapping"/>
      </w:r>
      <w:r>
        <w:rPr>
          <w:rStyle w:val="VerbatimChar"/>
        </w:rPr>
        <w:t xml:space="preserve">## rarefying sample 10_X06_E33_18S_AMB</w:t>
      </w:r>
      <w:r>
        <w:br w:type="textWrapping"/>
      </w:r>
      <w:r>
        <w:rPr>
          <w:rStyle w:val="VerbatimChar"/>
        </w:rPr>
        <w:t xml:space="preserve">## rarefying sample 10_X06_E35_18S_AMB</w:t>
      </w:r>
      <w:r>
        <w:br w:type="textWrapping"/>
      </w:r>
      <w:r>
        <w:rPr>
          <w:rStyle w:val="VerbatimChar"/>
        </w:rPr>
        <w:t xml:space="preserve">## rarefying sample 10_X06_F37_18S_AMB</w:t>
      </w:r>
      <w:r>
        <w:br w:type="textWrapping"/>
      </w:r>
      <w:r>
        <w:rPr>
          <w:rStyle w:val="VerbatimChar"/>
        </w:rPr>
        <w:t xml:space="preserve">## rarefying sample 10_X06_F38_18S_AMB</w:t>
      </w:r>
      <w:r>
        <w:br w:type="textWrapping"/>
      </w:r>
      <w:r>
        <w:rPr>
          <w:rStyle w:val="VerbatimChar"/>
        </w:rPr>
        <w:t xml:space="preserve">## rarefying sample 10_X06_F39_18S_AMB</w:t>
      </w:r>
      <w:r>
        <w:br w:type="textWrapping"/>
      </w:r>
      <w:r>
        <w:rPr>
          <w:rStyle w:val="VerbatimChar"/>
        </w:rPr>
        <w:t xml:space="preserve">## rarefying sample 10_X06_G40_18S_AMB</w:t>
      </w:r>
      <w:r>
        <w:br w:type="textWrapping"/>
      </w:r>
      <w:r>
        <w:rPr>
          <w:rStyle w:val="VerbatimChar"/>
        </w:rPr>
        <w:t xml:space="preserve">## rarefying sample 10_X06_G42_18S_AMB</w:t>
      </w:r>
      <w:r>
        <w:br w:type="textWrapping"/>
      </w:r>
      <w:r>
        <w:rPr>
          <w:rStyle w:val="VerbatimChar"/>
        </w:rPr>
        <w:t xml:space="preserve">## rarefying sample 10_X06_G43_18S_AMB</w:t>
      </w:r>
      <w:r>
        <w:br w:type="textWrapping"/>
      </w:r>
      <w:r>
        <w:rPr>
          <w:rStyle w:val="VerbatimChar"/>
        </w:rPr>
        <w:t xml:space="preserve">## rarefying sample 10_X06_G44_18S_AMB</w:t>
      </w:r>
      <w:r>
        <w:br w:type="textWrapping"/>
      </w:r>
      <w:r>
        <w:rPr>
          <w:rStyle w:val="VerbatimChar"/>
        </w:rPr>
        <w:t xml:space="preserve">## rarefying sample 10_X06_H45_18S_AMB</w:t>
      </w:r>
      <w:r>
        <w:br w:type="textWrapping"/>
      </w:r>
      <w:r>
        <w:rPr>
          <w:rStyle w:val="VerbatimChar"/>
        </w:rPr>
        <w:t xml:space="preserve">## rarefying sample 10_X06_H46_18S_AMB</w:t>
      </w:r>
      <w:r>
        <w:br w:type="textWrapping"/>
      </w:r>
      <w:r>
        <w:rPr>
          <w:rStyle w:val="VerbatimChar"/>
        </w:rPr>
        <w:t xml:space="preserve">## rarefying sample 10_X06_H47_18S_AMB</w:t>
      </w:r>
      <w:r>
        <w:br w:type="textWrapping"/>
      </w:r>
      <w:r>
        <w:rPr>
          <w:rStyle w:val="VerbatimChar"/>
        </w:rPr>
        <w:t xml:space="preserve">## rarefying sample 10_X06_H48_18S_AMB</w:t>
      </w:r>
      <w:r>
        <w:br w:type="textWrapping"/>
      </w:r>
      <w:r>
        <w:rPr>
          <w:rStyle w:val="VerbatimChar"/>
        </w:rPr>
        <w:t xml:space="preserve">## rarefying sample 10_X06_J49_18S_AMB</w:t>
      </w:r>
      <w:r>
        <w:br w:type="textWrapping"/>
      </w:r>
      <w:r>
        <w:rPr>
          <w:rStyle w:val="VerbatimChar"/>
        </w:rPr>
        <w:t xml:space="preserve">## rarefying sample 10_X06_Y2A_18S_AMB</w:t>
      </w:r>
      <w:r>
        <w:br w:type="textWrapping"/>
      </w:r>
      <w:r>
        <w:rPr>
          <w:rStyle w:val="VerbatimChar"/>
        </w:rPr>
        <w:t xml:space="preserve">## rarefying sample 10_X06_Y2B_18S_AMB</w:t>
      </w:r>
      <w:r>
        <w:br w:type="textWrapping"/>
      </w:r>
      <w:r>
        <w:rPr>
          <w:rStyle w:val="VerbatimChar"/>
        </w:rPr>
        <w:t xml:space="preserve">## rarefying sample 10_X06_Y3A_18S_AMB</w:t>
      </w:r>
      <w:r>
        <w:br w:type="textWrapping"/>
      </w:r>
      <w:r>
        <w:rPr>
          <w:rStyle w:val="VerbatimChar"/>
        </w:rPr>
        <w:t xml:space="preserve">## rarefying sample 10_X06_Y3B_18S_AMB</w:t>
      </w:r>
      <w:r>
        <w:br w:type="textWrapping"/>
      </w:r>
      <w:r>
        <w:rPr>
          <w:rStyle w:val="VerbatimChar"/>
        </w:rPr>
        <w:t xml:space="preserve">## rarefying sample 10_X06_Y6A_18S_AMB</w:t>
      </w:r>
      <w:r>
        <w:br w:type="textWrapping"/>
      </w:r>
      <w:r>
        <w:rPr>
          <w:rStyle w:val="VerbatimChar"/>
        </w:rPr>
        <w:t xml:space="preserve">## rarefying sample 10_X06_Y6B_18S_AMB</w:t>
      </w:r>
      <w:r>
        <w:br w:type="textWrapping"/>
      </w:r>
      <w:r>
        <w:rPr>
          <w:rStyle w:val="VerbatimChar"/>
        </w:rPr>
        <w:t xml:space="preserve">## rarefying sample 10_X06_Y7A_18S_AMB</w:t>
      </w:r>
      <w:r>
        <w:br w:type="textWrapping"/>
      </w:r>
      <w:r>
        <w:rPr>
          <w:rStyle w:val="VerbatimChar"/>
        </w:rPr>
        <w:t xml:space="preserve">## rarefying sample 10_X06_Y7B_18S_AMB</w:t>
      </w:r>
    </w:p>
    <w:p>
      <w:pPr>
        <w:pStyle w:val="FigureWithCaption"/>
      </w:pPr>
      <w:r>
        <w:drawing>
          <wp:inline>
            <wp:extent cx="5334000" cy="4267200"/>
            <wp:effectExtent b="0" l="0" r="0" t="0"/>
            <wp:docPr descr="Figura 9. Curva de rarefacción que presenta la riqueza de OTUs a lo largo de las estaciones en relación al número de secuencias" title="" id="1" name="Picture"/>
            <a:graphic>
              <a:graphicData uri="http://schemas.openxmlformats.org/drawingml/2006/picture">
                <pic:pic>
                  <pic:nvPicPr>
                    <pic:cNvPr descr="templado_informe_files/figure-docx/unnamed-chunk-1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9. Curva de rarefacción que presenta la riqueza de OTUs a lo largo de las estaciones en relación al número de secuencias</w:t>
      </w:r>
    </w:p>
    <w:p>
      <w:pPr>
        <w:pStyle w:val="BodyText"/>
      </w:pPr>
      <w:r>
        <w:t xml:space="preserve">En el siguiente enlace externo se encuentran la tabla de los índices de diversidad alfa: PATHTOTHEFILE</w:t>
      </w:r>
    </w:p>
    <w:p>
      <w:pPr>
        <w:pStyle w:val="SourceCode"/>
      </w:pPr>
      <w:r>
        <w:rPr>
          <w:rStyle w:val="VerbatimChar"/>
        </w:rPr>
        <w:t xml:space="preserve">## Warning in estimate_richness(physeq, split = TRUE, measures = measures): The data you have provided does not have</w:t>
      </w:r>
      <w:r>
        <w:br w:type="textWrapping"/>
      </w:r>
      <w:r>
        <w:rPr>
          <w:rStyle w:val="VerbatimChar"/>
        </w:rPr>
        <w:t xml:space="preserve">## any singletons. This is highly suspicious. Results of richness</w:t>
      </w:r>
      <w:r>
        <w:br w:type="textWrapping"/>
      </w:r>
      <w:r>
        <w:rPr>
          <w:rStyle w:val="VerbatimChar"/>
        </w:rPr>
        <w:t xml:space="preserve">## estimates (for example) are probably unreliable, or wrong, if you have already</w:t>
      </w:r>
      <w:r>
        <w:br w:type="textWrapping"/>
      </w:r>
      <w:r>
        <w:rPr>
          <w:rStyle w:val="VerbatimChar"/>
        </w:rPr>
        <w:t xml:space="preserve">## trimmed low-abundance taxa from the data.</w:t>
      </w:r>
      <w:r>
        <w:br w:type="textWrapping"/>
      </w:r>
      <w:r>
        <w:rPr>
          <w:rStyle w:val="VerbatimChar"/>
        </w:rPr>
        <w:t xml:space="preserve">## </w:t>
      </w:r>
      <w:r>
        <w:br w:type="textWrapping"/>
      </w:r>
      <w:r>
        <w:rPr>
          <w:rStyle w:val="VerbatimChar"/>
        </w:rPr>
        <w:t xml:space="preserve">## We recommended that you find the un-trimmed data and retry.</w:t>
      </w:r>
    </w:p>
    <w:p>
      <w:pPr>
        <w:pStyle w:val="SourceCode"/>
      </w:pPr>
      <w:r>
        <w:rPr>
          <w:rStyle w:val="VerbatimChar"/>
        </w:rPr>
        <w:t xml:space="preserve">## Warning: Removed 84 rows containing missing values (geom_errorbar).</w:t>
      </w:r>
    </w:p>
    <w:p>
      <w:pPr>
        <w:pStyle w:val="FigureWithCaption"/>
      </w:pPr>
      <w:r>
        <w:drawing>
          <wp:inline>
            <wp:extent cx="5334000" cy="4267200"/>
            <wp:effectExtent b="0" l="0" r="0" t="0"/>
            <wp:docPr descr="Diversidad alpha" title="" id="1" name="Picture"/>
            <a:graphic>
              <a:graphicData uri="http://schemas.openxmlformats.org/drawingml/2006/picture">
                <pic:pic>
                  <pic:nvPicPr>
                    <pic:cNvPr descr="templado_informe_files/figure-docx/unnamed-chunk-11-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Diversidad alpha</w:t>
      </w:r>
    </w:p>
    <w:p>
      <w:pPr>
        <w:pStyle w:val="BodyText"/>
      </w:pPr>
      <w:r>
        <w:t xml:space="preserve">La diferencia en composición de la comunidad de zooplancton entre estaciones se evaluó mediante un análisis de coordenadas principales usando una matriz de distancias Jaccard. En la figura 10 se observa que la mayoría de las estaciones forman agrupaciones indicando comunidades similares mientras que son pocas estaciones que se separan, indicando comunidades diferentes al resto del grupo.</w:t>
      </w:r>
    </w:p>
    <w:p>
      <w:pPr>
        <w:pStyle w:val="SourceCode"/>
      </w:pPr>
      <w:r>
        <w:rPr>
          <w:rStyle w:val="VerbatimChar"/>
        </w:rPr>
        <w:t xml:space="preserve">## Warning: Ignoring unknown aesthetics: label.size</w:t>
      </w:r>
    </w:p>
    <w:p>
      <w:pPr>
        <w:pStyle w:val="FigureWithCaption"/>
      </w:pPr>
      <w:r>
        <w:drawing>
          <wp:inline>
            <wp:extent cx="5334000" cy="4267200"/>
            <wp:effectExtent b="0" l="0" r="0" t="0"/>
            <wp:docPr descr="Figura 10. PCoA. Componentes principales (Distancias Jaccard)." title="" id="1" name="Picture"/>
            <a:graphic>
              <a:graphicData uri="http://schemas.openxmlformats.org/drawingml/2006/picture">
                <pic:pic>
                  <pic:nvPicPr>
                    <pic:cNvPr descr="templado_informe_files/figure-docx/unnamed-chunk-1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10. PCoA. Componentes principales (Distancias Jaccard).</w:t>
      </w:r>
    </w:p>
    <w:p>
      <w:pPr>
        <w:pStyle w:val="SourceCode"/>
      </w:pPr>
      <w:r>
        <w:rPr>
          <w:rStyle w:val="VerbatimChar"/>
        </w:rPr>
        <w:t xml:space="preserve">## Warning: Removed 36204 rows containing missing values (geom_point).</w:t>
      </w:r>
    </w:p>
    <w:p>
      <w:pPr>
        <w:pStyle w:val="FigureWithCaption"/>
      </w:pPr>
      <w:r>
        <w:drawing>
          <wp:inline>
            <wp:extent cx="5334000" cy="4267200"/>
            <wp:effectExtent b="0" l="0" r="0" t="0"/>
            <wp:docPr descr="Additional plots - otus (abundantes) en una/ dos estaciones unicamente" title="" id="1" name="Picture"/>
            <a:graphic>
              <a:graphicData uri="http://schemas.openxmlformats.org/drawingml/2006/picture">
                <pic:pic>
                  <pic:nvPicPr>
                    <pic:cNvPr descr="templado_informe_files/figure-docx/unnamed-chunk-13-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Additional plots - otus (abundantes) en una/ dos estaciones unicamente</w:t>
      </w:r>
    </w:p>
    <w:p>
      <w:pPr>
        <w:pStyle w:val="BodyText"/>
      </w:pPr>
      <w:r>
        <w:t xml:space="preserve">Visualizacion de hexanauplia</w:t>
      </w:r>
    </w:p>
    <w:p>
      <w:pPr>
        <w:pStyle w:val="FigureWithCaption"/>
      </w:pPr>
      <w:r>
        <w:drawing>
          <wp:inline>
            <wp:extent cx="5334000" cy="3048000"/>
            <wp:effectExtent b="0" l="0" r="0" t="0"/>
            <wp:docPr descr="Hexanauplia subset through the samples (Family label in the xlab)" title="" id="1" name="Picture"/>
            <a:graphic>
              <a:graphicData uri="http://schemas.openxmlformats.org/drawingml/2006/picture">
                <pic:pic>
                  <pic:nvPicPr>
                    <pic:cNvPr descr="templado_informe_files/figure-docx/unnamed-chunk-16-1.png" id="0" name="Picture"/>
                    <pic:cNvPicPr>
                      <a:picLocks noChangeArrowheads="1" noChangeAspect="1"/>
                    </pic:cNvPicPr>
                  </pic:nvPicPr>
                  <pic:blipFill>
                    <a:blip r:embed="rId36"/>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Hexanauplia subset through the samples (Family label in the xlab)</w:t>
      </w:r>
    </w:p>
    <w:p>
      <w:pPr>
        <w:pStyle w:val="Heading2"/>
      </w:pPr>
      <w:bookmarkStart w:id="37" w:name="citas"/>
      <w:bookmarkEnd w:id="37"/>
      <w:r>
        <w:t xml:space="preserve">Citas</w:t>
      </w:r>
    </w:p>
    <w:p>
      <w:pPr>
        <w:pStyle w:val="FirstParagraph"/>
      </w:pPr>
      <w:r>
        <w:t xml:space="preserve">1 Kozich JJ, Westcott SL, Baxter NT, Highlander SK, Schloss PD. (2013): Development of a dual-index sequencing strategy and curation pipeline for analyzing amplicon sequence data on the MiSeq Illumina sequencing platform. Applied and Environmental Microbiology. 79(17):5112-20</w:t>
      </w:r>
    </w:p>
    <w:p>
      <w:pPr>
        <w:pStyle w:val="BodyText"/>
      </w:pPr>
      <w:r>
        <w:t xml:space="preserve">2 Yilmaz P, Parfrey LW, Yarza P, Gerken J, Pruesse E, Quast C, Schweer T, Peplies J, Ludwig W, Glöckner FO. (2014): The SILVA and</w:t>
      </w:r>
      <w:r>
        <w:t xml:space="preserve"> </w:t>
      </w:r>
      <w:r>
        <w:t xml:space="preserve">“</w:t>
      </w:r>
      <w:r>
        <w:t xml:space="preserve">All-species Living Tree Project (LTP)</w:t>
      </w:r>
      <w:r>
        <w:t xml:space="preserve">”</w:t>
      </w:r>
      <w:r>
        <w:t xml:space="preserve"> </w:t>
      </w:r>
      <w:r>
        <w:t xml:space="preserve">taxonomic frameworks. Nucl. Acids Res. 42:D643-D648</w:t>
      </w:r>
    </w:p>
    <w:p>
      <w:pPr>
        <w:pStyle w:val="BodyText"/>
      </w:pPr>
      <w:r>
        <w:t xml:space="preserve">3 Rognes T, Flouri T, Nichols B, Quince C, Mahé F. (2016) VSEARCH: a versatile open source tool for metagenomics. PeerJ 4:e2584</w:t>
      </w:r>
    </w:p>
    <w:p>
      <w:pPr>
        <w:pStyle w:val="BodyText"/>
      </w:pPr>
      <w:r>
        <w:t xml:space="preserve">4 Westcott SL, Schloss PD. (2017). OptiClust, an improved method for assigning amplicon-based sequence data to operational taxonomic units. mSphere 2:e00073-17</w:t>
      </w:r>
    </w:p>
    <w:p>
      <w:pPr>
        <w:pStyle w:val="BodyText"/>
      </w:pPr>
      <w:r>
        <w:t xml:space="preserve">5 De Vargas, C., et al. (2015) Eukaryotic plankton diversity in the sunlit ocean. Science 348.6237 1261605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235e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metagenómico de la diversidad de plancton en la zona epipelágica del golfo de México</dc:title>
  <dc:creator>Grupo Bioinformatica</dc:creator>
  <dcterms:created xsi:type="dcterms:W3CDTF">2018-08-09T19:47:27Z</dcterms:created>
  <dcterms:modified xsi:type="dcterms:W3CDTF">2018-08-09T19:47:27Z</dcterms:modified>
</cp:coreProperties>
</file>