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spacing w:after="160"/>
        <w:jc w:val="center"/>
      </w:pPr>
      <w:r>
        <w:rPr>
          <w:b/>
          <w:color w:val="0B0B0B"/>
          <w:sz w:val="48"/>
        </w:rPr>
        <w:t>Why Buses Bunch</w:t>
      </w:r>
    </w:p>
    <w:p>
      <w:pPr>
        <w:spacing w:after="960"/>
        <w:jc w:val="center"/>
      </w:pPr>
      <w:r>
        <w:rPr>
          <w:b w:val="0"/>
          <w:color w:val="0B0B0B"/>
          <w:sz w:val="28"/>
        </w:rPr>
        <w:t>The Relationship Between Passenger Demand and Bus Bunching on CapMetro Rapid Route 801, July–December 2021</w:t>
      </w:r>
    </w:p>
    <w:p>
      <w:pPr>
        <w:spacing w:after="120"/>
        <w:jc w:val="center"/>
      </w:pPr>
      <w:r>
        <w:rPr>
          <w:b w:val="0"/>
          <w:color w:val="0B0B0B"/>
          <w:sz w:val="24"/>
        </w:rPr>
        <w:t>ELE IDSA Project 1 · GEC2B</w:t>
      </w:r>
    </w:p>
    <w:p>
      <w:pPr>
        <w:spacing w:after="720"/>
        <w:jc w:val="center"/>
      </w:pPr>
      <w:r>
        <w:rPr>
          <w:b w:val="0"/>
          <w:color w:val="0B0B0B"/>
          <w:sz w:val="24"/>
        </w:rPr>
        <w:t>Instructor: Ezron John D. Cabrera</w:t>
      </w:r>
    </w:p>
    <w:p>
      <w:pPr>
        <w:spacing w:after="120"/>
        <w:jc w:val="center"/>
      </w:pPr>
      <w:r>
        <w:rPr>
          <w:b w:val="0"/>
          <w:color w:val="52514E"/>
          <w:sz w:val="24"/>
        </w:rPr>
        <w:t>Prepared by</w:t>
      </w:r>
    </w:p>
    <w:p>
      <w:pPr>
        <w:spacing w:after="40"/>
        <w:jc w:val="center"/>
      </w:pPr>
      <w:r>
        <w:rPr>
          <w:b w:val="0"/>
          <w:color w:val="0B0B0B"/>
          <w:sz w:val="24"/>
        </w:rPr>
        <w:t>Rence Marquez</w:t>
      </w:r>
    </w:p>
    <w:p>
      <w:pPr>
        <w:spacing w:after="40"/>
        <w:jc w:val="center"/>
      </w:pPr>
      <w:r>
        <w:rPr>
          <w:b w:val="0"/>
          <w:color w:val="0B0B0B"/>
          <w:sz w:val="24"/>
        </w:rPr>
        <w:t>Khalil Badal</w:t>
      </w:r>
    </w:p>
    <w:p>
      <w:pPr>
        <w:spacing w:after="40"/>
        <w:jc w:val="center"/>
      </w:pPr>
      <w:r>
        <w:rPr>
          <w:b w:val="0"/>
          <w:color w:val="0B0B0B"/>
          <w:sz w:val="24"/>
        </w:rPr>
        <w:t>Elijah</w:t>
      </w:r>
    </w:p>
    <w:p>
      <w:pPr>
        <w:spacing w:after="120"/>
        <w:jc w:val="center"/>
      </w:pPr>
      <w:r>
        <w:rPr>
          <w:b w:val="0"/>
          <w:color w:val="52514E"/>
          <w:sz w:val="24"/>
        </w:rPr>
        <w:t>October 2026</w:t>
      </w:r>
    </w:p>
    <w:p>
      <w:r>
        <w:br w:type="page"/>
      </w:r>
    </w:p>
    <w:p>
      <w:pPr>
        <w:pStyle w:val="Heading1"/>
      </w:pPr>
      <w:r>
        <w:t>1. Introduction</w:t>
      </w:r>
    </w:p>
    <w:p>
      <w:r>
        <w:rPr>
          <w:color w:val="2A78D6"/>
        </w:rPr>
        <w:t>[Section pending: Elijah]</w:t>
      </w:r>
    </w:p>
    <w:p>
      <w:pPr>
        <w:pStyle w:val="Heading1"/>
      </w:pPr>
      <w:r>
        <w:t>2. Methodology</w:t>
      </w:r>
    </w:p>
    <w:p>
      <w:pPr>
        <w:pStyle w:val="Heading3"/>
      </w:pPr>
      <w:r>
        <w:t>Data acquisition</w:t>
      </w:r>
    </w:p>
    <w:p>
      <w:pPr>
        <w:pStyle w:val="ListBullet"/>
        <w:spacing w:after="60"/>
      </w:pPr>
      <w:r>
        <w:rPr>
          <w:b/>
        </w:rPr>
        <w:t>Source:</w:t>
      </w:r>
      <w:r>
        <w:rPr/>
        <w:t xml:space="preserve"> Capital Metropolitan Transportation Authority (CapMetro), </w:t>
      </w:r>
      <w:r>
        <w:rPr>
          <w:i/>
        </w:rPr>
        <w:t>APC Raw July 2021 – December 2021</w:t>
      </w:r>
      <w:r>
        <w:rPr/>
        <w:t xml:space="preserve">, Texas Open Data Portal (dataset </w:t>
      </w:r>
      <w:r>
        <w:rPr/>
        <w:t>im6q-3pc9</w:t>
      </w:r>
      <w:r>
        <w:rPr/>
        <w:t>), free public download.</w:t>
      </w:r>
    </w:p>
    <w:p>
      <w:pPr>
        <w:pStyle w:val="ListBullet"/>
        <w:spacing w:after="60"/>
      </w:pPr>
      <w:r>
        <w:rPr>
          <w:b/>
        </w:rPr>
        <w:t>How the data is produced:</w:t>
      </w:r>
      <w:r>
        <w:rPr/>
        <w:t xml:space="preserve"> automatic passenger counters (APC) on CapMetro buses. Door sensors count passengers getting on and off, and the bus's GPS and clock record when and where each stop happens. Each row is one </w:t>
      </w:r>
      <w:r>
        <w:rPr>
          <w:b/>
        </w:rPr>
        <w:t>stop event</w:t>
      </w:r>
      <w:r>
        <w:rPr/>
        <w:t>: one bus stopping at one stop.</w:t>
      </w:r>
    </w:p>
    <w:p>
      <w:pPr>
        <w:pStyle w:val="ListBullet"/>
        <w:spacing w:after="60"/>
      </w:pPr>
      <w:r>
        <w:rPr>
          <w:b/>
        </w:rPr>
        <w:t>Raw size:</w:t>
      </w:r>
      <w:r>
        <w:rPr/>
        <w:t xml:space="preserve"> 9,197,694 rows × 47 columns, covering every CapMetro route. All values are stored as text.</w:t>
      </w:r>
    </w:p>
    <w:p>
      <w:pPr>
        <w:pStyle w:val="ListBullet"/>
        <w:spacing w:after="60"/>
      </w:pPr>
      <w:r>
        <w:rPr>
          <w:b/>
        </w:rPr>
        <w:t>Study subset:</w:t>
      </w:r>
      <w:r>
        <w:rPr/>
        <w:t xml:space="preserve"> Route 801 (CapMetro Rapid), southbound, </w:t>
      </w:r>
      <w:r>
        <w:rPr>
          <w:b/>
        </w:rPr>
        <w:t>July 1 – December 30, 2021</w:t>
      </w:r>
      <w:r>
        <w:rPr/>
        <w:t>: 229,421 stop events, 29 stops, 143 buses, 184 service days.</w:t>
      </w:r>
    </w:p>
    <w:p>
      <w:pPr>
        <w:pStyle w:val="Heading3"/>
      </w:pPr>
      <w:r>
        <w:t>Parameters used to segregate the data</w:t>
      </w:r>
    </w:p>
    <w:tbl>
      <w:tblPr>
        <w:tblStyle w:val="TableGrid"/>
        <w:tblW w:type="auto" w:w="0"/>
        <w:jc w:val="center"/>
        <w:tblLook w:firstColumn="1" w:firstRow="1" w:lastColumn="0" w:lastRow="0" w:noHBand="0" w:noVBand="1" w:val="04A0"/>
      </w:tblPr>
      <w:tblGrid>
        <w:gridCol w:w="3009"/>
        <w:gridCol w:w="3009"/>
        <w:gridCol w:w="3009"/>
      </w:tblGrid>
      <w:tr>
        <w:tc>
          <w:tcPr>
            <w:tcW w:type="dxa" w:w="3024"/>
            <w:shd w:val="clear" w:color="auto" w:fill="DCE8F8"/>
          </w:tcPr>
          <w:p>
            <w:pPr>
              <w:keepNext/>
              <w:spacing w:after="0"/>
            </w:pPr>
            <w:r>
              <w:rPr>
                <w:b/>
              </w:rPr>
            </w:r>
            <w:r>
              <w:rPr>
                <w:b/>
                <w:sz w:val="21"/>
              </w:rPr>
              <w:t>Parameter</w:t>
            </w:r>
          </w:p>
        </w:tc>
        <w:tc>
          <w:tcPr>
            <w:tcW w:type="dxa" w:w="3024"/>
            <w:shd w:val="clear" w:color="auto" w:fill="DCE8F8"/>
          </w:tcPr>
          <w:p>
            <w:pPr>
              <w:keepNext/>
              <w:spacing w:after="0"/>
            </w:pPr>
            <w:r>
              <w:rPr>
                <w:b/>
              </w:rPr>
            </w:r>
            <w:r>
              <w:rPr>
                <w:b/>
                <w:sz w:val="21"/>
              </w:rPr>
              <w:t>Values used</w:t>
            </w:r>
          </w:p>
        </w:tc>
        <w:tc>
          <w:tcPr>
            <w:tcW w:type="dxa" w:w="3024"/>
            <w:shd w:val="clear" w:color="auto" w:fill="DCE8F8"/>
          </w:tcPr>
          <w:p>
            <w:pPr>
              <w:keepNext/>
              <w:spacing w:after="0"/>
            </w:pPr>
            <w:r>
              <w:rPr>
                <w:b/>
              </w:rPr>
            </w:r>
            <w:r>
              <w:rPr>
                <w:b/>
                <w:sz w:val="21"/>
              </w:rPr>
              <w:t>Purpose</w:t>
            </w:r>
          </w:p>
        </w:tc>
      </w:tr>
      <w:tr>
        <w:tc>
          <w:tcPr>
            <w:tcW w:type="dxa" w:w="3024"/>
          </w:tcPr>
          <w:p>
            <w:pPr>
              <w:keepNext/>
              <w:spacing w:after="0"/>
            </w:pPr>
            <w:r/>
            <w:r>
              <w:rPr>
                <w:sz w:val="21"/>
              </w:rPr>
              <w:t>Route</w:t>
            </w:r>
          </w:p>
        </w:tc>
        <w:tc>
          <w:tcPr>
            <w:tcW w:type="dxa" w:w="3024"/>
          </w:tcPr>
          <w:p>
            <w:pPr>
              <w:keepNext/>
              <w:spacing w:after="0"/>
            </w:pPr>
            <w:r/>
            <w:r>
              <w:rPr>
                <w:sz w:val="21"/>
              </w:rPr>
              <w:t>801</w:t>
            </w:r>
          </w:p>
        </w:tc>
        <w:tc>
          <w:tcPr>
            <w:tcW w:type="dxa" w:w="3024"/>
          </w:tcPr>
          <w:p>
            <w:pPr>
              <w:keepNext/>
              <w:spacing w:after="0"/>
            </w:pPr>
            <w:r/>
            <w:r>
              <w:rPr>
                <w:sz w:val="21"/>
              </w:rPr>
              <w:t>Study route</w:t>
            </w:r>
          </w:p>
        </w:tc>
      </w:tr>
      <w:tr>
        <w:tc>
          <w:tcPr>
            <w:tcW w:type="dxa" w:w="3024"/>
          </w:tcPr>
          <w:p>
            <w:pPr>
              <w:keepNext/>
              <w:spacing w:after="0"/>
            </w:pPr>
            <w:r/>
            <w:r>
              <w:rPr>
                <w:sz w:val="21"/>
              </w:rPr>
              <w:t>Direction</w:t>
            </w:r>
          </w:p>
        </w:tc>
        <w:tc>
          <w:tcPr>
            <w:tcW w:type="dxa" w:w="3024"/>
          </w:tcPr>
          <w:p>
            <w:pPr>
              <w:keepNext/>
              <w:spacing w:after="0"/>
            </w:pPr>
            <w:r/>
            <w:r>
              <w:rPr>
                <w:sz w:val="21"/>
              </w:rPr>
              <w:t>Southbound (code 6)</w:t>
            </w:r>
          </w:p>
        </w:tc>
        <w:tc>
          <w:tcPr>
            <w:tcW w:type="dxa" w:w="3024"/>
          </w:tcPr>
          <w:p>
            <w:pPr>
              <w:keepNext/>
              <w:spacing w:after="0"/>
            </w:pPr>
            <w:r/>
            <w:r>
              <w:rPr>
                <w:sz w:val="21"/>
              </w:rPr>
              <w:t>One direction of travel</w:t>
            </w:r>
          </w:p>
        </w:tc>
      </w:tr>
      <w:tr>
        <w:tc>
          <w:tcPr>
            <w:tcW w:type="dxa" w:w="3024"/>
          </w:tcPr>
          <w:p>
            <w:pPr>
              <w:keepNext/>
              <w:spacing w:after="0"/>
            </w:pPr>
            <w:r/>
            <w:r>
              <w:rPr>
                <w:sz w:val="21"/>
              </w:rPr>
              <w:t>Period</w:t>
            </w:r>
          </w:p>
        </w:tc>
        <w:tc>
          <w:tcPr>
            <w:tcW w:type="dxa" w:w="3024"/>
          </w:tcPr>
          <w:p>
            <w:pPr>
              <w:keepNext/>
              <w:spacing w:after="0"/>
            </w:pPr>
            <w:r/>
            <w:r>
              <w:rPr>
                <w:sz w:val="21"/>
              </w:rPr>
              <w:t>Jul 1 – Dec 30, 2021</w:t>
            </w:r>
          </w:p>
        </w:tc>
        <w:tc>
          <w:tcPr>
            <w:tcW w:type="dxa" w:w="3024"/>
          </w:tcPr>
          <w:p>
            <w:pPr>
              <w:keepNext/>
              <w:spacing w:after="0"/>
            </w:pPr>
            <w:r/>
            <w:r>
              <w:rPr>
                <w:sz w:val="21"/>
              </w:rPr>
              <w:t>Full dataset coverage</w:t>
            </w:r>
          </w:p>
        </w:tc>
      </w:tr>
      <w:tr>
        <w:tc>
          <w:tcPr>
            <w:tcW w:type="dxa" w:w="3024"/>
          </w:tcPr>
          <w:p>
            <w:pPr>
              <w:keepNext/>
              <w:spacing w:after="0"/>
            </w:pPr>
            <w:r/>
            <w:r>
              <w:rPr>
                <w:sz w:val="21"/>
              </w:rPr>
              <w:t>Day type</w:t>
            </w:r>
          </w:p>
        </w:tc>
        <w:tc>
          <w:tcPr>
            <w:tcW w:type="dxa" w:w="3024"/>
          </w:tcPr>
          <w:p>
            <w:pPr>
              <w:keepNext/>
              <w:spacing w:after="0"/>
            </w:pPr>
            <w:r/>
            <w:r>
              <w:rPr>
                <w:sz w:val="21"/>
              </w:rPr>
              <w:t>Weekday / weekend</w:t>
            </w:r>
          </w:p>
        </w:tc>
        <w:tc>
          <w:tcPr>
            <w:tcW w:type="dxa" w:w="3024"/>
          </w:tcPr>
          <w:p>
            <w:pPr>
              <w:keepNext/>
              <w:spacing w:after="0"/>
            </w:pPr>
            <w:r/>
            <w:r>
              <w:rPr>
                <w:sz w:val="21"/>
              </w:rPr>
              <w:t>Compare demand patterns</w:t>
            </w:r>
          </w:p>
        </w:tc>
      </w:tr>
      <w:tr>
        <w:tc>
          <w:tcPr>
            <w:tcW w:type="dxa" w:w="3024"/>
          </w:tcPr>
          <w:p>
            <w:pPr>
              <w:keepNext/>
              <w:spacing w:after="0"/>
            </w:pPr>
            <w:r/>
            <w:r>
              <w:rPr>
                <w:sz w:val="21"/>
              </w:rPr>
              <w:t>Analysis window</w:t>
            </w:r>
          </w:p>
        </w:tc>
        <w:tc>
          <w:tcPr>
            <w:tcW w:type="dxa" w:w="3024"/>
          </w:tcPr>
          <w:p>
            <w:pPr>
              <w:keepNext/>
              <w:spacing w:after="0"/>
            </w:pPr>
            <w:r/>
            <w:r>
              <w:rPr>
                <w:sz w:val="21"/>
              </w:rPr>
              <w:t>Weekdays, 7:00–17:59</w:t>
            </w:r>
          </w:p>
        </w:tc>
        <w:tc>
          <w:tcPr>
            <w:tcW w:type="dxa" w:w="3024"/>
          </w:tcPr>
          <w:p>
            <w:pPr>
              <w:keepNext/>
              <w:spacing w:after="0"/>
            </w:pPr>
            <w:r/>
            <w:r>
              <w:rPr>
                <w:sz w:val="21"/>
              </w:rPr>
              <w:t>Hours when buses are scheduled every 10 minutes, so the planned headway is constant</w:t>
            </w:r>
          </w:p>
        </w:tc>
      </w:tr>
      <w:tr>
        <w:tc>
          <w:tcPr>
            <w:tcW w:type="dxa" w:w="3024"/>
          </w:tcPr>
          <w:p>
            <w:pPr>
              <w:keepNext/>
              <w:spacing w:after="0"/>
            </w:pPr>
            <w:r/>
            <w:r>
              <w:rPr>
                <w:sz w:val="21"/>
              </w:rPr>
              <w:t>Hour of day</w:t>
            </w:r>
          </w:p>
        </w:tc>
        <w:tc>
          <w:tcPr>
            <w:tcW w:type="dxa" w:w="3024"/>
          </w:tcPr>
          <w:p>
            <w:pPr>
              <w:keepNext/>
              <w:spacing w:after="0"/>
            </w:pPr>
            <w:r/>
            <w:r>
              <w:rPr>
                <w:sz w:val="21"/>
              </w:rPr>
              <w:t>0–23</w:t>
            </w:r>
          </w:p>
        </w:tc>
        <w:tc>
          <w:tcPr>
            <w:tcW w:type="dxa" w:w="3024"/>
          </w:tcPr>
          <w:p>
            <w:pPr>
              <w:keepNext/>
              <w:spacing w:after="0"/>
            </w:pPr>
            <w:r/>
            <w:r>
              <w:rPr>
                <w:sz w:val="21"/>
              </w:rPr>
              <w:t>Demand by time of day</w:t>
            </w:r>
          </w:p>
        </w:tc>
      </w:tr>
      <w:tr>
        <w:tc>
          <w:tcPr>
            <w:tcW w:type="dxa" w:w="3024"/>
          </w:tcPr>
          <w:p>
            <w:pPr>
              <w:keepNext/>
              <w:spacing w:after="0"/>
            </w:pPr>
            <w:r/>
            <w:r>
              <w:rPr>
                <w:sz w:val="21"/>
              </w:rPr>
              <w:t>Stop order</w:t>
            </w:r>
          </w:p>
        </w:tc>
        <w:tc>
          <w:tcPr>
            <w:tcW w:type="dxa" w:w="3024"/>
          </w:tcPr>
          <w:p>
            <w:pPr>
              <w:keepNext/>
              <w:spacing w:after="0"/>
            </w:pPr>
            <w:r/>
            <w:r>
              <w:rPr>
                <w:sz w:val="21"/>
              </w:rPr>
              <w:t>1 (first stop) to 29 (last stop)</w:t>
            </w:r>
          </w:p>
        </w:tc>
        <w:tc>
          <w:tcPr>
            <w:tcW w:type="dxa" w:w="3024"/>
          </w:tcPr>
          <w:p>
            <w:pPr>
              <w:keepNext/>
              <w:spacing w:after="0"/>
            </w:pPr>
            <w:r/>
            <w:r>
              <w:rPr>
                <w:sz w:val="21"/>
              </w:rPr>
              <w:t>Position along the route</w:t>
            </w:r>
          </w:p>
        </w:tc>
      </w:tr>
      <w:tr>
        <w:tc>
          <w:tcPr>
            <w:tcW w:type="dxa" w:w="3024"/>
          </w:tcPr>
          <w:p>
            <w:pPr>
              <w:keepNext w:val="0"/>
              <w:spacing w:after="0"/>
            </w:pPr>
            <w:r/>
            <w:r>
              <w:rPr>
                <w:sz w:val="21"/>
              </w:rPr>
              <w:t>Headway group</w:t>
            </w:r>
          </w:p>
        </w:tc>
        <w:tc>
          <w:tcPr>
            <w:tcW w:type="dxa" w:w="3024"/>
          </w:tcPr>
          <w:p>
            <w:pPr>
              <w:keepNext w:val="0"/>
              <w:spacing w:after="0"/>
            </w:pPr>
            <w:r/>
            <w:r>
              <w:rPr>
                <w:sz w:val="21"/>
              </w:rPr>
              <w:t>0–5, 5–10, 10–15, 15–20, 20+ min</w:t>
            </w:r>
          </w:p>
        </w:tc>
        <w:tc>
          <w:tcPr>
            <w:tcW w:type="dxa" w:w="3024"/>
          </w:tcPr>
          <w:p>
            <w:pPr>
              <w:keepNext w:val="0"/>
              <w:spacing w:after="0"/>
            </w:pPr>
            <w:r/>
            <w:r>
              <w:rPr>
                <w:sz w:val="21"/>
              </w:rPr>
              <w:t>Compare buses that are close together vs far apart</w:t>
            </w:r>
          </w:p>
        </w:tc>
      </w:tr>
    </w:tbl>
    <w:p>
      <w:pPr>
        <w:spacing w:after="40"/>
      </w:pPr>
    </w:p>
    <w:p>
      <w:pPr>
        <w:keepNext w:val="0"/>
      </w:pPr>
      <w:r>
        <w:rPr>
          <w:b/>
        </w:rPr>
        <w:t>Key variables</w:t>
      </w:r>
    </w:p>
    <w:p>
      <w:pPr>
        <w:pStyle w:val="ListBullet"/>
        <w:spacing w:after="60"/>
      </w:pPr>
      <w:r>
        <w:rPr>
          <w:b/>
        </w:rPr>
        <w:t>Headway:</w:t>
      </w:r>
      <w:r>
        <w:rPr/>
        <w:t xml:space="preserve"> time since the previous bus at the same stop.</w:t>
      </w:r>
    </w:p>
    <w:p>
      <w:pPr>
        <w:pStyle w:val="ListBullet"/>
        <w:spacing w:after="60"/>
      </w:pPr>
      <w:r>
        <w:rPr>
          <w:b/>
        </w:rPr>
        <w:t>Passenger load:</w:t>
      </w:r>
      <w:r>
        <w:rPr/>
        <w:t xml:space="preserve"> passengers on board after the stop (</w:t>
      </w:r>
      <w:r>
        <w:rPr/>
        <w:t>max_load</w:t>
      </w:r>
      <w:r>
        <w:rPr/>
        <w:t>).</w:t>
      </w:r>
    </w:p>
    <w:p>
      <w:pPr>
        <w:pStyle w:val="ListBullet"/>
        <w:spacing w:after="60"/>
      </w:pPr>
      <w:r>
        <w:rPr>
          <w:b/>
        </w:rPr>
        <w:t>Boardings / alightings:</w:t>
      </w:r>
      <w:r>
        <w:rPr/>
        <w:t xml:space="preserve"> </w:t>
      </w:r>
      <w:r>
        <w:rPr/>
        <w:t>ons</w:t>
      </w:r>
      <w:r>
        <w:rPr/>
        <w:t xml:space="preserve"> / </w:t>
      </w:r>
      <w:r>
        <w:rPr/>
        <w:t>offs</w:t>
      </w:r>
      <w:r>
        <w:rPr/>
        <w:t>.</w:t>
      </w:r>
    </w:p>
    <w:p>
      <w:pPr>
        <w:pStyle w:val="ListBullet"/>
        <w:spacing w:after="60"/>
      </w:pPr>
      <w:r>
        <w:rPr>
          <w:b/>
        </w:rPr>
        <w:t>Dwell time:</w:t>
      </w:r>
      <w:r>
        <w:rPr/>
        <w:t xml:space="preserve"> seconds from door open to door close.</w:t>
      </w:r>
    </w:p>
    <w:p>
      <w:pPr>
        <w:pStyle w:val="Heading3"/>
      </w:pPr>
      <w:r>
        <w:t>Data cleaning</w:t>
      </w:r>
    </w:p>
    <w:p>
      <w:pPr>
        <w:keepNext/>
      </w:pPr>
      <w:r>
        <w:rPr>
          <w:b/>
        </w:rPr>
        <w:t>Filtering.</w:t>
      </w:r>
      <w:r>
        <w:rPr/>
        <w:t xml:space="preserve"> A record is kept only if it passes all six rules:</w:t>
      </w:r>
    </w:p>
    <w:tbl>
      <w:tblPr>
        <w:tblStyle w:val="TableGrid"/>
        <w:tblW w:type="auto" w:w="0"/>
        <w:jc w:val="center"/>
        <w:tblLook w:firstColumn="1" w:firstRow="1" w:lastColumn="0" w:lastRow="0" w:noHBand="0" w:noVBand="1" w:val="04A0"/>
      </w:tblPr>
      <w:tblGrid>
        <w:gridCol w:w="3009"/>
        <w:gridCol w:w="3009"/>
        <w:gridCol w:w="3009"/>
      </w:tblGrid>
      <w:tr>
        <w:tc>
          <w:tcPr>
            <w:tcW w:type="dxa" w:w="3024"/>
            <w:shd w:val="clear" w:color="auto" w:fill="DCE8F8"/>
          </w:tcPr>
          <w:p>
            <w:pPr>
              <w:keepNext/>
              <w:spacing w:after="0"/>
            </w:pPr>
            <w:r>
              <w:rPr>
                <w:b/>
              </w:rPr>
            </w:r>
            <w:r>
              <w:rPr>
                <w:b/>
                <w:sz w:val="21"/>
              </w:rPr>
              <w:t>Step</w:t>
            </w:r>
          </w:p>
        </w:tc>
        <w:tc>
          <w:tcPr>
            <w:tcW w:type="dxa" w:w="3024"/>
            <w:shd w:val="clear" w:color="auto" w:fill="DCE8F8"/>
          </w:tcPr>
          <w:p>
            <w:pPr>
              <w:keepNext/>
              <w:spacing w:after="0"/>
            </w:pPr>
            <w:r>
              <w:rPr>
                <w:b/>
              </w:rPr>
            </w:r>
            <w:r>
              <w:rPr>
                <w:b/>
                <w:sz w:val="21"/>
              </w:rPr>
              <w:t>Rule</w:t>
            </w:r>
          </w:p>
        </w:tc>
        <w:tc>
          <w:tcPr>
            <w:tcW w:type="dxa" w:w="3024"/>
            <w:shd w:val="clear" w:color="auto" w:fill="DCE8F8"/>
          </w:tcPr>
          <w:p>
            <w:pPr>
              <w:keepNext/>
              <w:spacing w:after="0"/>
            </w:pPr>
            <w:r>
              <w:rPr>
                <w:b/>
              </w:rPr>
            </w:r>
            <w:r>
              <w:rPr>
                <w:b/>
                <w:sz w:val="21"/>
              </w:rPr>
              <w:t>Records left</w:t>
            </w:r>
          </w:p>
        </w:tc>
      </w:tr>
      <w:tr>
        <w:tc>
          <w:tcPr>
            <w:tcW w:type="dxa" w:w="3024"/>
          </w:tcPr>
          <w:p>
            <w:pPr>
              <w:keepNext/>
              <w:spacing w:after="0"/>
            </w:pPr>
            <w:r/>
            <w:r>
              <w:rPr>
                <w:sz w:val="21"/>
              </w:rPr>
              <w:t>Raw dataset</w:t>
            </w:r>
          </w:p>
        </w:tc>
        <w:tc>
          <w:tcPr>
            <w:tcW w:type="dxa" w:w="3024"/>
          </w:tcPr>
          <w:p>
            <w:pPr>
              <w:keepNext/>
              <w:spacing w:after="0"/>
            </w:pPr>
            <w:r/>
            <w:r>
              <w:rPr>
                <w:sz w:val="21"/>
              </w:rPr>
              <w:t>—</w:t>
            </w:r>
          </w:p>
        </w:tc>
        <w:tc>
          <w:tcPr>
            <w:tcW w:type="dxa" w:w="3024"/>
          </w:tcPr>
          <w:p>
            <w:pPr>
              <w:keepNext/>
              <w:spacing w:after="0"/>
            </w:pPr>
            <w:r/>
            <w:r>
              <w:rPr>
                <w:sz w:val="21"/>
              </w:rPr>
              <w:t>9,197,694</w:t>
            </w:r>
          </w:p>
        </w:tc>
      </w:tr>
      <w:tr>
        <w:tc>
          <w:tcPr>
            <w:tcW w:type="dxa" w:w="3024"/>
          </w:tcPr>
          <w:p>
            <w:pPr>
              <w:keepNext/>
              <w:spacing w:after="0"/>
            </w:pPr>
            <w:r/>
            <w:r>
              <w:rPr>
                <w:sz w:val="21"/>
              </w:rPr>
              <w:t>1</w:t>
            </w:r>
          </w:p>
        </w:tc>
        <w:tc>
          <w:tcPr>
            <w:tcW w:type="dxa" w:w="3024"/>
          </w:tcPr>
          <w:p>
            <w:pPr>
              <w:keepNext/>
              <w:spacing w:after="0"/>
            </w:pPr>
            <w:r/>
            <w:r>
              <w:rPr>
                <w:sz w:val="21"/>
              </w:rPr>
              <w:t>Route 801</w:t>
            </w:r>
          </w:p>
        </w:tc>
        <w:tc>
          <w:tcPr>
            <w:tcW w:type="dxa" w:w="3024"/>
          </w:tcPr>
          <w:p>
            <w:pPr>
              <w:keepNext/>
              <w:spacing w:after="0"/>
            </w:pPr>
            <w:r/>
            <w:r>
              <w:rPr>
                <w:sz w:val="21"/>
              </w:rPr>
              <w:t>547,616</w:t>
            </w:r>
          </w:p>
        </w:tc>
      </w:tr>
      <w:tr>
        <w:tc>
          <w:tcPr>
            <w:tcW w:type="dxa" w:w="3024"/>
          </w:tcPr>
          <w:p>
            <w:pPr>
              <w:keepNext/>
              <w:spacing w:after="0"/>
            </w:pPr>
            <w:r/>
            <w:r>
              <w:rPr>
                <w:sz w:val="21"/>
              </w:rPr>
              <w:t>2</w:t>
            </w:r>
          </w:p>
        </w:tc>
        <w:tc>
          <w:tcPr>
            <w:tcW w:type="dxa" w:w="3024"/>
          </w:tcPr>
          <w:p>
            <w:pPr>
              <w:keepNext/>
              <w:spacing w:after="0"/>
            </w:pPr>
            <w:r/>
            <w:r>
              <w:rPr>
                <w:sz w:val="21"/>
              </w:rPr>
              <w:t>Bus serving its assigned route</w:t>
            </w:r>
          </w:p>
        </w:tc>
        <w:tc>
          <w:tcPr>
            <w:tcW w:type="dxa" w:w="3024"/>
          </w:tcPr>
          <w:p>
            <w:pPr>
              <w:keepNext/>
              <w:spacing w:after="0"/>
            </w:pPr>
            <w:r/>
            <w:r>
              <w:rPr>
                <w:sz w:val="21"/>
              </w:rPr>
              <w:t>524,728</w:t>
            </w:r>
          </w:p>
        </w:tc>
      </w:tr>
      <w:tr>
        <w:tc>
          <w:tcPr>
            <w:tcW w:type="dxa" w:w="3024"/>
          </w:tcPr>
          <w:p>
            <w:pPr>
              <w:keepNext/>
              <w:spacing w:after="0"/>
            </w:pPr>
            <w:r/>
            <w:r>
              <w:rPr>
                <w:sz w:val="21"/>
              </w:rPr>
              <w:t>3–4</w:t>
            </w:r>
          </w:p>
        </w:tc>
        <w:tc>
          <w:tcPr>
            <w:tcW w:type="dxa" w:w="3024"/>
          </w:tcPr>
          <w:p>
            <w:pPr>
              <w:keepNext/>
              <w:spacing w:after="0"/>
            </w:pPr>
            <w:r/>
            <w:r>
              <w:rPr>
                <w:sz w:val="21"/>
              </w:rPr>
              <w:t>No error flags (record or trip)</w:t>
            </w:r>
          </w:p>
        </w:tc>
        <w:tc>
          <w:tcPr>
            <w:tcW w:type="dxa" w:w="3024"/>
          </w:tcPr>
          <w:p>
            <w:pPr>
              <w:keepNext/>
              <w:spacing w:after="0"/>
            </w:pPr>
            <w:r/>
            <w:r>
              <w:rPr>
                <w:sz w:val="21"/>
              </w:rPr>
              <w:t>480,452</w:t>
            </w:r>
          </w:p>
        </w:tc>
      </w:tr>
      <w:tr>
        <w:tc>
          <w:tcPr>
            <w:tcW w:type="dxa" w:w="3024"/>
          </w:tcPr>
          <w:p>
            <w:pPr>
              <w:keepNext/>
              <w:spacing w:after="0"/>
            </w:pPr>
            <w:r/>
            <w:r>
              <w:rPr>
                <w:sz w:val="21"/>
              </w:rPr>
              <w:t>5</w:t>
            </w:r>
          </w:p>
        </w:tc>
        <w:tc>
          <w:tcPr>
            <w:tcW w:type="dxa" w:w="3024"/>
          </w:tcPr>
          <w:p>
            <w:pPr>
              <w:keepNext/>
              <w:spacing w:after="0"/>
            </w:pPr>
            <w:r/>
            <w:r>
              <w:rPr>
                <w:sz w:val="21"/>
              </w:rPr>
              <w:t>Valid stop ID (not 0)</w:t>
            </w:r>
          </w:p>
        </w:tc>
        <w:tc>
          <w:tcPr>
            <w:tcW w:type="dxa" w:w="3024"/>
          </w:tcPr>
          <w:p>
            <w:pPr>
              <w:keepNext/>
              <w:spacing w:after="0"/>
            </w:pPr>
            <w:r/>
            <w:r>
              <w:rPr>
                <w:sz w:val="21"/>
              </w:rPr>
              <w:t>455,654</w:t>
            </w:r>
          </w:p>
        </w:tc>
      </w:tr>
      <w:tr>
        <w:tc>
          <w:tcPr>
            <w:tcW w:type="dxa" w:w="3024"/>
          </w:tcPr>
          <w:p>
            <w:pPr>
              <w:keepNext w:val="0"/>
              <w:spacing w:after="0"/>
            </w:pPr>
            <w:r/>
            <w:r>
              <w:rPr>
                <w:sz w:val="21"/>
              </w:rPr>
              <w:t>6</w:t>
            </w:r>
          </w:p>
        </w:tc>
        <w:tc>
          <w:tcPr>
            <w:tcW w:type="dxa" w:w="3024"/>
          </w:tcPr>
          <w:p>
            <w:pPr>
              <w:keepNext w:val="0"/>
              <w:spacing w:after="0"/>
            </w:pPr>
            <w:r/>
            <w:r>
              <w:rPr>
                <w:sz w:val="21"/>
              </w:rPr>
              <w:t>Southbound only</w:t>
            </w:r>
          </w:p>
        </w:tc>
        <w:tc>
          <w:tcPr>
            <w:tcW w:type="dxa" w:w="3024"/>
          </w:tcPr>
          <w:p>
            <w:pPr>
              <w:keepNext w:val="0"/>
              <w:spacing w:after="0"/>
            </w:pPr>
            <w:r/>
            <w:r>
              <w:rPr>
                <w:b/>
                <w:sz w:val="21"/>
              </w:rPr>
              <w:t>229,421</w:t>
            </w:r>
          </w:p>
        </w:tc>
      </w:tr>
    </w:tbl>
    <w:p>
      <w:pPr>
        <w:spacing w:after="40"/>
      </w:pPr>
    </w:p>
    <w:p>
      <w:pPr>
        <w:keepNext w:val="0"/>
      </w:pPr>
      <w:r>
        <w:rPr>
          <w:b/>
        </w:rPr>
        <w:t>Other cleaning steps</w:t>
      </w:r>
    </w:p>
    <w:p>
      <w:pPr>
        <w:pStyle w:val="ListBullet"/>
        <w:spacing w:after="60"/>
      </w:pPr>
      <w:r>
        <w:rPr>
          <w:b/>
        </w:rPr>
        <w:t>Type conversion:</w:t>
      </w:r>
      <w:r>
        <w:rPr/>
        <w:t xml:space="preserve"> text is converted to numbers and dates.</w:t>
      </w:r>
    </w:p>
    <w:p>
      <w:pPr>
        <w:pStyle w:val="ListBullet"/>
        <w:spacing w:after="60"/>
      </w:pPr>
      <w:r>
        <w:rPr>
          <w:b/>
        </w:rPr>
        <w:t>Duplicates:</w:t>
      </w:r>
      <w:r>
        <w:rPr/>
        <w:t xml:space="preserve"> 7 duplicate records (same trip, same stop) are removed.</w:t>
      </w:r>
    </w:p>
    <w:p>
      <w:pPr>
        <w:pStyle w:val="ListBullet"/>
        <w:spacing w:after="60"/>
      </w:pPr>
      <w:r>
        <w:rPr>
          <w:b/>
        </w:rPr>
        <w:t>Terminal stops:</w:t>
      </w:r>
      <w:r>
        <w:rPr/>
        <w:t xml:space="preserve"> stops 1 and 29 are the ends of the route, where buses wait between trips. Their "dwell times" are layovers (median 10–13 minutes), so the 17,659 terminal records are excluded from the dwell and headway analysis (see the figure below).</w:t>
      </w:r>
    </w:p>
    <w:p>
      <w:pPr>
        <w:pStyle w:val="ListBullet"/>
        <w:spacing w:after="60"/>
      </w:pPr>
      <w:r>
        <w:rPr>
          <w:b/>
        </w:rPr>
        <w:t>Invalid values:</w:t>
      </w:r>
    </w:p>
    <w:p>
      <w:pPr>
        <w:pStyle w:val="ListBullet2"/>
        <w:spacing w:after="60"/>
      </w:pPr>
      <w:r>
        <w:rPr/>
        <w:t>Boardings or alightings above 40 at a single stop (33 values, above the 99.99th percentile) are counter errors.</w:t>
      </w:r>
    </w:p>
    <w:p>
      <w:pPr>
        <w:pStyle w:val="ListBullet2"/>
        <w:spacing w:after="60"/>
      </w:pPr>
      <w:r>
        <w:rPr/>
        <w:t>Dwell times above 10 minutes at non-terminal stops (381 values) are not passenger service.</w:t>
      </w:r>
    </w:p>
    <w:p>
      <w:pPr>
        <w:pStyle w:val="ListBullet2"/>
        <w:spacing w:after="60"/>
      </w:pPr>
      <w:r>
        <w:rPr/>
        <w:t>Both are marked as missing.</w:t>
      </w:r>
    </w:p>
    <w:p>
      <w:pPr>
        <w:pStyle w:val="ListBullet"/>
        <w:spacing w:after="60"/>
      </w:pPr>
      <w:r>
        <w:rPr>
          <w:b/>
        </w:rPr>
        <w:t>Imputation:</w:t>
      </w:r>
      <w:r>
        <w:rPr/>
        <w:t xml:space="preserve"> the missing values are filled with the </w:t>
      </w:r>
      <w:r>
        <w:rPr>
          <w:b/>
        </w:rPr>
        <w:t>median of the same stop and hour</w:t>
      </w:r>
      <w:r>
        <w:rPr/>
        <w:t>. The median is used because these variables are strongly skewed. In total 414 values were imputed, less than 0.2% of records.</w:t>
      </w:r>
    </w:p>
    <w:p>
      <w:pPr>
        <w:pStyle w:val="ListBullet"/>
        <w:spacing w:after="60"/>
      </w:pPr>
      <w:r>
        <w:rPr>
          <w:b/>
        </w:rPr>
        <w:t>Headway check:</w:t>
      </w:r>
      <w:r>
        <w:rPr/>
        <w:t xml:space="preserve"> some scheduled trips are missing from the APC data, so two recorded buses can be 20 minutes apart only because the bus between them wasn't recorded. A headway is therefore kept only when the two buses were </w:t>
      </w:r>
      <w:r>
        <w:rPr>
          <w:b/>
        </w:rPr>
        <w:t>scheduled exactly 10 minutes apart</w:t>
      </w:r>
      <w:r>
        <w:rPr/>
        <w:t>. This leaves 51,437 valid headways in the analysis window.</w:t>
      </w:r>
    </w:p>
    <w:p>
      <w:pPr>
        <w:keepNext/>
        <w:jc w:val="center"/>
      </w:pPr>
      <w:r>
        <w:drawing>
          <wp:inline xmlns:a="http://schemas.openxmlformats.org/drawingml/2006/main" xmlns:pic="http://schemas.openxmlformats.org/drawingml/2006/picture">
            <wp:extent cx="5760000" cy="3589013"/>
            <wp:docPr id="1" name="Picture 1"/>
            <wp:cNvGraphicFramePr>
              <a:graphicFrameLocks noChangeAspect="1"/>
            </wp:cNvGraphicFramePr>
            <a:graphic>
              <a:graphicData uri="http://schemas.openxmlformats.org/drawingml/2006/picture">
                <pic:pic>
                  <pic:nvPicPr>
                    <pic:cNvPr id="0" name="fig01_dwell_cleaning.png"/>
                    <pic:cNvPicPr/>
                  </pic:nvPicPr>
                  <pic:blipFill>
                    <a:blip r:embed="rId9"/>
                    <a:stretch>
                      <a:fillRect/>
                    </a:stretch>
                  </pic:blipFill>
                  <pic:spPr>
                    <a:xfrm>
                      <a:off x="0" y="0"/>
                      <a:ext cx="5760000" cy="3589013"/>
                    </a:xfrm>
                    <a:prstGeom prst="rect"/>
                  </pic:spPr>
                </pic:pic>
              </a:graphicData>
            </a:graphic>
          </wp:inline>
        </w:drawing>
      </w:r>
    </w:p>
    <w:p>
      <w:pPr>
        <w:jc w:val="center"/>
      </w:pPr>
      <w:r>
        <w:rPr>
          <w:color w:val="52514E"/>
          <w:sz w:val="21"/>
        </w:rPr>
        <w:t>Figure 1. Dwell time before and after cleaning</w:t>
      </w:r>
    </w:p>
    <w:p>
      <w:pPr>
        <w:pStyle w:val="Heading3"/>
      </w:pPr>
      <w:r>
        <w:t>Tools</w:t>
      </w:r>
    </w:p>
    <w:p>
      <w:pPr>
        <w:keepNext w:val="0"/>
      </w:pPr>
      <w:r>
        <w:rPr/>
        <w:t xml:space="preserve">Python (pandas, NumPy, Matplotlib, SciPy, statsmodels). The full pipeline is in </w:t>
      </w:r>
      <w:r>
        <w:rPr/>
        <w:t>src/prepare_data.py</w:t>
      </w:r>
      <w:r>
        <w:rPr/>
        <w:t>.</w:t>
      </w:r>
    </w:p>
    <w:p>
      <w:pPr>
        <w:pStyle w:val="Heading1"/>
      </w:pPr>
      <w:r>
        <w:t>3. Results and Discussion</w:t>
      </w:r>
    </w:p>
    <w:p>
      <w:pPr>
        <w:pStyle w:val="Heading2"/>
      </w:pPr>
      <w:r>
        <w:t>3.1 Ridership Patterns</w:t>
      </w:r>
    </w:p>
    <w:p>
      <w:r>
        <w:rPr>
          <w:color w:val="2A78D6"/>
        </w:rPr>
        <w:t>[Section pending: Elijah]</w:t>
      </w:r>
    </w:p>
    <w:p>
      <w:pPr>
        <w:pStyle w:val="Heading2"/>
      </w:pPr>
      <w:r>
        <w:t>3.2 Where and When Passengers Board</w:t>
      </w:r>
    </w:p>
    <w:p>
      <w:pPr>
        <w:keepNext/>
        <w:jc w:val="center"/>
      </w:pPr>
      <w:r>
        <w:drawing>
          <wp:inline xmlns:a="http://schemas.openxmlformats.org/drawingml/2006/main" xmlns:pic="http://schemas.openxmlformats.org/drawingml/2006/picture">
            <wp:extent cx="5760000" cy="4136624"/>
            <wp:docPr id="2" name="Picture 2"/>
            <wp:cNvGraphicFramePr>
              <a:graphicFrameLocks noChangeAspect="1"/>
            </wp:cNvGraphicFramePr>
            <a:graphic>
              <a:graphicData uri="http://schemas.openxmlformats.org/drawingml/2006/picture">
                <pic:pic>
                  <pic:nvPicPr>
                    <pic:cNvPr id="0" name="fig02_boardings_heatmap.png"/>
                    <pic:cNvPicPr/>
                  </pic:nvPicPr>
                  <pic:blipFill>
                    <a:blip r:embed="rId10"/>
                    <a:stretch>
                      <a:fillRect/>
                    </a:stretch>
                  </pic:blipFill>
                  <pic:spPr>
                    <a:xfrm>
                      <a:off x="0" y="0"/>
                      <a:ext cx="5760000" cy="4136624"/>
                    </a:xfrm>
                    <a:prstGeom prst="rect"/>
                  </pic:spPr>
                </pic:pic>
              </a:graphicData>
            </a:graphic>
          </wp:inline>
        </w:drawing>
      </w:r>
    </w:p>
    <w:p>
      <w:pPr>
        <w:jc w:val="center"/>
      </w:pPr>
      <w:r>
        <w:rPr>
          <w:color w:val="52514E"/>
          <w:sz w:val="21"/>
        </w:rPr>
        <w:t>Figure 2. Average weekday boardings by stop and hour</w:t>
      </w:r>
    </w:p>
    <w:p>
      <w:pPr>
        <w:pStyle w:val="ListBullet"/>
        <w:spacing w:after="60"/>
      </w:pPr>
      <w:r>
        <w:rPr/>
        <w:t xml:space="preserve">Boardings are concentrated at a few stops. </w:t>
      </w:r>
      <w:r>
        <w:rPr>
          <w:b/>
        </w:rPr>
        <w:t>Stop 1</w:t>
      </w:r>
      <w:r>
        <w:rPr/>
        <w:t xml:space="preserve"> (the first stop) is the busiest, with up to about 40 boardings per weekday in a single hour around 7:00–10:00. </w:t>
      </w:r>
      <w:r>
        <w:rPr>
          <w:b/>
        </w:rPr>
        <w:t>Stops 5 and 19</w:t>
      </w:r>
      <w:r>
        <w:rPr/>
        <w:t xml:space="preserve"> are the next busiest. Over a whole weekday, stop 1 averages about 429 boardings, stop 5 about 323 and stop 19 about 201.</w:t>
      </w:r>
    </w:p>
    <w:p>
      <w:pPr>
        <w:pStyle w:val="ListBullet"/>
        <w:spacing w:after="60"/>
      </w:pPr>
      <w:r>
        <w:rPr/>
        <w:t>Stop 5 is busiest in the morning (6:00–9:00). Stop 19 is busiest in the afternoon (15:00–17:00), which suggests commuters travelling out in the morning and back in the afternoon.</w:t>
      </w:r>
    </w:p>
    <w:p>
      <w:pPr>
        <w:pStyle w:val="ListBullet"/>
        <w:spacing w:after="60"/>
      </w:pPr>
      <w:r>
        <w:rPr/>
        <w:t>Apart from stops 22 and 24, the stops after stop 20 have few boardings at any hour, because passengers are mostly getting off near the end of the route.</w:t>
      </w:r>
    </w:p>
    <w:p>
      <w:pPr>
        <w:pStyle w:val="ListBullet"/>
        <w:spacing w:after="60"/>
      </w:pPr>
      <w:r>
        <w:rPr/>
        <w:t>Demand is uneven across both stops and hours. A bus reaching a busy stop at a busy hour has many more people to serve, and the hypothesis results test whether that is tied to bunching.</w:t>
      </w:r>
    </w:p>
    <w:p>
      <w:pPr>
        <w:pStyle w:val="Heading2"/>
      </w:pPr>
      <w:r>
        <w:t>3.3 Hypothesis Results</w:t>
      </w:r>
    </w:p>
    <w:p>
      <w:pPr>
        <w:keepNext w:val="0"/>
      </w:pPr>
      <w:r>
        <w:rPr/>
        <w:t xml:space="preserve">All tests use the analysis window (weekdays 07:00–17:59, buses scheduled every 10 minutes): 126,070 stop events over 131 service days. Every test uses a significance level of </w:t>
      </w:r>
      <w:r>
        <w:rPr>
          <w:b/>
        </w:rPr>
        <w:t>alpha = 0.05</w:t>
      </w:r>
      <w:r>
        <w:rPr/>
        <w:t>.</w:t>
      </w:r>
    </w:p>
    <w:p>
      <w:pPr>
        <w:pStyle w:val="Heading3"/>
      </w:pPr>
      <w:r>
        <w:t>H1 — Buses with a longer headway carry more passengers</w:t>
      </w:r>
    </w:p>
    <w:p>
      <w:pPr>
        <w:keepNext/>
        <w:jc w:val="center"/>
      </w:pPr>
      <w:r>
        <w:drawing>
          <wp:inline xmlns:a="http://schemas.openxmlformats.org/drawingml/2006/main" xmlns:pic="http://schemas.openxmlformats.org/drawingml/2006/picture">
            <wp:extent cx="5760000" cy="3844293"/>
            <wp:docPr id="3" name="Picture 3"/>
            <wp:cNvGraphicFramePr>
              <a:graphicFrameLocks noChangeAspect="1"/>
            </wp:cNvGraphicFramePr>
            <a:graphic>
              <a:graphicData uri="http://schemas.openxmlformats.org/drawingml/2006/picture">
                <pic:pic>
                  <pic:nvPicPr>
                    <pic:cNvPr id="0" name="fig06_h1_load_vs_headway.png"/>
                    <pic:cNvPicPr/>
                  </pic:nvPicPr>
                  <pic:blipFill>
                    <a:blip r:embed="rId11"/>
                    <a:stretch>
                      <a:fillRect/>
                    </a:stretch>
                  </pic:blipFill>
                  <pic:spPr>
                    <a:xfrm>
                      <a:off x="0" y="0"/>
                      <a:ext cx="5760000" cy="3844293"/>
                    </a:xfrm>
                    <a:prstGeom prst="rect"/>
                  </pic:spPr>
                </pic:pic>
              </a:graphicData>
            </a:graphic>
          </wp:inline>
        </w:drawing>
      </w:r>
    </w:p>
    <w:p>
      <w:pPr>
        <w:jc w:val="center"/>
      </w:pPr>
      <w:r>
        <w:rPr>
          <w:color w:val="52514E"/>
          <w:sz w:val="21"/>
        </w:rPr>
        <w:t>Figure 3. H1: Passengers on board by headway group</w:t>
      </w:r>
    </w:p>
    <w:p>
      <w:pPr>
        <w:pStyle w:val="ListBullet"/>
        <w:spacing w:after="60"/>
      </w:pPr>
      <w:r>
        <w:rPr/>
        <w:t xml:space="preserve">Mean load climbs with every headway group: </w:t>
      </w:r>
      <w:r>
        <w:rPr>
          <w:b/>
        </w:rPr>
        <w:t>9.1 passengers</w:t>
      </w:r>
      <w:r>
        <w:rPr/>
        <w:t xml:space="preserve"> at 0–5 min (n = 6,549), 11.0 at 5–10, 13.4 at 10–15, 15.8 at 15–20 and </w:t>
      </w:r>
      <w:r>
        <w:rPr>
          <w:b/>
        </w:rPr>
        <w:t>17.9</w:t>
      </w:r>
      <w:r>
        <w:rPr/>
        <w:t xml:space="preserve"> at 20+ min (n = 5,351) — roughly </w:t>
      </w:r>
      <w:r>
        <w:rPr>
          <w:b/>
        </w:rPr>
        <w:t>double</w:t>
      </w:r>
      <w:r>
        <w:rPr/>
        <w:t xml:space="preserve"> the load for a bus that is 20+ minutes behind the one ahead.</w:t>
      </w:r>
    </w:p>
    <w:p>
      <w:pPr>
        <w:pStyle w:val="ListBullet"/>
        <w:spacing w:after="60"/>
      </w:pPr>
      <w:r>
        <w:rPr/>
        <w:t>The medians move the same way (8 → 17 passengers), so the pattern is not driven by a few crowded buses.</w:t>
      </w:r>
    </w:p>
    <w:p>
      <w:pPr>
        <w:pStyle w:val="ListBullet"/>
        <w:spacing w:after="60"/>
      </w:pPr>
      <w:r>
        <w:rPr>
          <w:b/>
        </w:rPr>
        <w:t>Spearman correlation:</w:t>
      </w:r>
      <w:r>
        <w:rPr/>
        <w:t xml:space="preserve"> rho = </w:t>
      </w:r>
      <w:r>
        <w:rPr>
          <w:b/>
        </w:rPr>
        <w:t>0.349</w:t>
      </w:r>
      <w:r>
        <w:rPr/>
        <w:t>, p &lt; 0.001 (n = 51,437 valid headways) — a moderate positive association.</w:t>
      </w:r>
    </w:p>
    <w:p>
      <w:pPr>
        <w:pStyle w:val="ListBullet"/>
        <w:spacing w:after="60"/>
      </w:pPr>
      <w:r>
        <w:rPr>
          <w:b/>
        </w:rPr>
        <w:t>Kruskal-Wallis:</w:t>
      </w:r>
      <w:r>
        <w:rPr/>
        <w:t xml:space="preserve"> H = </w:t>
      </w:r>
      <w:r>
        <w:rPr>
          <w:b/>
        </w:rPr>
        <w:t>5,883.4</w:t>
      </w:r>
      <w:r>
        <w:rPr/>
        <w:t xml:space="preserve">, df = 4, p &lt; 0.001. Both tests are below alpha = 0.05, so we </w:t>
      </w:r>
      <w:r>
        <w:rPr>
          <w:b/>
        </w:rPr>
        <w:t>reject H0</w:t>
      </w:r>
      <w:r>
        <w:rPr/>
        <w:t>: load does depend on the headway.</w:t>
      </w:r>
    </w:p>
    <w:p>
      <w:pPr>
        <w:pStyle w:val="Heading3"/>
      </w:pPr>
      <w:r>
        <w:t>H2 — More boardings and alightings mean longer dwell time</w:t>
      </w:r>
    </w:p>
    <w:p>
      <w:pPr>
        <w:keepNext/>
        <w:jc w:val="center"/>
      </w:pPr>
      <w:r>
        <w:drawing>
          <wp:inline xmlns:a="http://schemas.openxmlformats.org/drawingml/2006/main" xmlns:pic="http://schemas.openxmlformats.org/drawingml/2006/picture">
            <wp:extent cx="5760000" cy="3572501"/>
            <wp:docPr id="4" name="Picture 4"/>
            <wp:cNvGraphicFramePr>
              <a:graphicFrameLocks noChangeAspect="1"/>
            </wp:cNvGraphicFramePr>
            <a:graphic>
              <a:graphicData uri="http://schemas.openxmlformats.org/drawingml/2006/picture">
                <pic:pic>
                  <pic:nvPicPr>
                    <pic:cNvPr id="0" name="fig07_h2_dwell_vs_boardings.png"/>
                    <pic:cNvPicPr/>
                  </pic:nvPicPr>
                  <pic:blipFill>
                    <a:blip r:embed="rId12"/>
                    <a:stretch>
                      <a:fillRect/>
                    </a:stretch>
                  </pic:blipFill>
                  <pic:spPr>
                    <a:xfrm>
                      <a:off x="0" y="0"/>
                      <a:ext cx="5760000" cy="3572501"/>
                    </a:xfrm>
                    <a:prstGeom prst="rect"/>
                  </pic:spPr>
                </pic:pic>
              </a:graphicData>
            </a:graphic>
          </wp:inline>
        </w:drawing>
      </w:r>
    </w:p>
    <w:p>
      <w:pPr>
        <w:jc w:val="center"/>
      </w:pPr>
      <w:r>
        <w:rPr>
          <w:color w:val="52514E"/>
          <w:sz w:val="21"/>
        </w:rPr>
        <w:t>Figure 4. H2: Dwell time vs passengers boarding</w:t>
      </w:r>
    </w:p>
    <w:p>
      <w:pPr>
        <w:pStyle w:val="ListBullet"/>
        <w:spacing w:after="60"/>
      </w:pPr>
      <w:r>
        <w:rPr/>
        <w:t xml:space="preserve">OLS on 116,697 non-terminal stop events: </w:t>
      </w:r>
      <w:r>
        <w:rPr/>
        <w:t>dwell_time = 12.79 + 6.91 × ons + 3.65 × offs</w:t>
      </w:r>
      <w:r>
        <w:rPr/>
        <w:t xml:space="preserve"> (seconds). Each extra </w:t>
      </w:r>
      <w:r>
        <w:rPr>
          <w:b/>
        </w:rPr>
        <w:t>boarding adds about 6.9 s</w:t>
      </w:r>
      <w:r>
        <w:rPr/>
        <w:t xml:space="preserve"> (95% CI 6.81–7.02) and each </w:t>
      </w:r>
      <w:r>
        <w:rPr>
          <w:b/>
        </w:rPr>
        <w:t>alighting about 3.7 s</w:t>
      </w:r>
      <w:r>
        <w:rPr/>
        <w:t xml:space="preserve"> (95% CI 3.54–3.76) — boarding costs about </w:t>
      </w:r>
      <w:r>
        <w:rPr>
          <w:b/>
        </w:rPr>
        <w:t>1.9× as much time</w:t>
      </w:r>
      <w:r>
        <w:rPr/>
        <w:t xml:space="preserve"> as alighting, which fits the fact that boarding passengers queue at the front door to pay while alighting passengers simply step off.</w:t>
      </w:r>
    </w:p>
    <w:p>
      <w:pPr>
        <w:pStyle w:val="ListBullet"/>
        <w:spacing w:after="60"/>
      </w:pPr>
      <w:r>
        <w:rPr/>
        <w:t xml:space="preserve">Both coefficients are significant (p &lt; 0.001 each; F(2, 116694) = 12,777, p &lt; 0.001), so we </w:t>
      </w:r>
      <w:r>
        <w:rPr>
          <w:b/>
        </w:rPr>
        <w:t>reject H0</w:t>
      </w:r>
      <w:r>
        <w:rPr/>
        <w:t xml:space="preserve">. </w:t>
      </w:r>
      <w:r>
        <w:rPr>
          <w:b/>
        </w:rPr>
        <w:t>R² = 0.180</w:t>
      </w:r>
      <w:r>
        <w:rPr/>
        <w:t>: boardings and alightings explain 18% of the variation in dwell time, the rest comes from traffic, wheelchair ramps and driver behaviour.</w:t>
      </w:r>
    </w:p>
    <w:p>
      <w:pPr>
        <w:pStyle w:val="ListBullet"/>
        <w:spacing w:after="60"/>
      </w:pPr>
      <w:r>
        <w:rPr/>
        <w:t xml:space="preserve">Observed mean dwell rises from </w:t>
      </w:r>
      <w:r>
        <w:rPr>
          <w:b/>
        </w:rPr>
        <w:t>16.9 s with no boardings to 111.8 s at 20 boardings</w:t>
      </w:r>
      <w:r>
        <w:rPr/>
        <w:t>, and the 25th–75th band widens with it, so busy stops are both slower and less predictable.</w:t>
      </w:r>
    </w:p>
    <w:p>
      <w:pPr>
        <w:pStyle w:val="ListBullet"/>
        <w:spacing w:after="60"/>
      </w:pPr>
      <w:r>
        <w:rPr/>
        <w:t>The straight fit runs above the observed means past ~15 boardings (fitted 157 s vs observed 112 s at 20), i.e. the real relationship flattens a little when many passengers board at once.</w:t>
      </w:r>
    </w:p>
    <w:p>
      <w:pPr>
        <w:pStyle w:val="Heading3"/>
      </w:pPr>
      <w:r>
        <w:t>H3 — Headways become more irregular along the route</w:t>
      </w:r>
    </w:p>
    <w:p>
      <w:pPr>
        <w:keepNext/>
        <w:jc w:val="center"/>
      </w:pPr>
      <w:r>
        <w:drawing>
          <wp:inline xmlns:a="http://schemas.openxmlformats.org/drawingml/2006/main" xmlns:pic="http://schemas.openxmlformats.org/drawingml/2006/picture">
            <wp:extent cx="5760000" cy="3888338"/>
            <wp:docPr id="5" name="Picture 5"/>
            <wp:cNvGraphicFramePr>
              <a:graphicFrameLocks noChangeAspect="1"/>
            </wp:cNvGraphicFramePr>
            <a:graphic>
              <a:graphicData uri="http://schemas.openxmlformats.org/drawingml/2006/picture">
                <pic:pic>
                  <pic:nvPicPr>
                    <pic:cNvPr id="0" name="fig08_h3_headway_cv_by_stop.png"/>
                    <pic:cNvPicPr/>
                  </pic:nvPicPr>
                  <pic:blipFill>
                    <a:blip r:embed="rId13"/>
                    <a:stretch>
                      <a:fillRect/>
                    </a:stretch>
                  </pic:blipFill>
                  <pic:spPr>
                    <a:xfrm>
                      <a:off x="0" y="0"/>
                      <a:ext cx="5760000" cy="3888338"/>
                    </a:xfrm>
                    <a:prstGeom prst="rect"/>
                  </pic:spPr>
                </pic:pic>
              </a:graphicData>
            </a:graphic>
          </wp:inline>
        </w:drawing>
      </w:r>
    </w:p>
    <w:p>
      <w:pPr>
        <w:jc w:val="center"/>
      </w:pPr>
      <w:r>
        <w:rPr>
          <w:color w:val="52514E"/>
          <w:sz w:val="21"/>
        </w:rPr>
        <w:t>Figure 5. H3: Headway irregularity along the route</w:t>
      </w:r>
    </w:p>
    <w:p>
      <w:pPr>
        <w:pStyle w:val="ListBullet"/>
        <w:spacing w:after="60"/>
      </w:pPr>
      <w:r>
        <w:rPr/>
        <w:t>Irregularity is measured as the coefficient of variation (CV = std / mean of the headways) for each service day and stop, using 3,382 day × stop cells with at least 3 valid headways over 128 service days.</w:t>
      </w:r>
    </w:p>
    <w:p>
      <w:pPr>
        <w:pStyle w:val="ListBullet"/>
        <w:spacing w:after="60"/>
      </w:pPr>
      <w:r>
        <w:rPr/>
        <w:t xml:space="preserve">Mean CV rises almost monotonically from </w:t>
      </w:r>
      <w:r>
        <w:rPr>
          <w:b/>
        </w:rPr>
        <w:t>0.387 at stop 2 to 0.583 at stop 28 (+51%)</w:t>
      </w:r>
      <w:r>
        <w:rPr/>
        <w:t xml:space="preserve">, peaking at </w:t>
      </w:r>
      <w:r>
        <w:rPr>
          <w:b/>
        </w:rPr>
        <w:t>0.622 at stop 27</w:t>
      </w:r>
      <w:r>
        <w:rPr/>
        <w:t>. The 25th–75th band also widens, so bad days get worse further down the line.</w:t>
      </w:r>
    </w:p>
    <w:p>
      <w:pPr>
        <w:pStyle w:val="ListBullet"/>
        <w:spacing w:after="60"/>
      </w:pPr>
      <w:r>
        <w:rPr>
          <w:b/>
        </w:rPr>
        <w:t>Spearman correlation</w:t>
      </w:r>
      <w:r>
        <w:rPr/>
        <w:t xml:space="preserve"> between stop order and mean CV: rho = </w:t>
      </w:r>
      <w:r>
        <w:rPr>
          <w:b/>
        </w:rPr>
        <w:t>0.955</w:t>
      </w:r>
      <w:r>
        <w:rPr/>
        <w:t>, p = 9.3 × 10⁻¹⁵ (n = 27 stops) — a very strong, near-linear increase.</w:t>
      </w:r>
    </w:p>
    <w:p>
      <w:pPr>
        <w:pStyle w:val="ListBullet"/>
        <w:spacing w:after="60"/>
      </w:pPr>
      <w:r>
        <w:rPr/>
        <w:t xml:space="preserve">p &lt; alpha = 0.05, so we </w:t>
      </w:r>
      <w:r>
        <w:rPr>
          <w:b/>
        </w:rPr>
        <w:t>reject H0</w:t>
      </w:r>
      <w:r>
        <w:rPr/>
        <w:t>: buses do not keep their 10-minute spacing along the route, they drift apart and bunch up.</w:t>
      </w:r>
    </w:p>
    <w:p>
      <w:pPr>
        <w:pStyle w:val="Heading3"/>
      </w:pPr>
      <w:r>
        <w:t>Discussion</w:t>
      </w:r>
    </w:p>
    <w:p>
      <w:pPr>
        <w:keepNext w:val="0"/>
      </w:pPr>
      <w:r>
        <w:rPr>
          <w:b/>
        </w:rPr>
        <w:t>The three results form one self-reinforcing cycle</w:t>
      </w:r>
    </w:p>
    <w:p>
      <w:pPr>
        <w:pStyle w:val="ListBullet"/>
        <w:spacing w:after="60"/>
      </w:pPr>
      <w:r>
        <w:rPr>
          <w:b/>
        </w:rPr>
        <w:t>H2 → H1:</w:t>
      </w:r>
      <w:r>
        <w:rPr/>
        <w:t xml:space="preserve"> a bus that meets more passengers stays longer at each stop (+6.9 s per boarding), so it falls further behind schedule.</w:t>
      </w:r>
    </w:p>
    <w:p>
      <w:pPr>
        <w:pStyle w:val="ListBullet"/>
        <w:spacing w:after="60"/>
      </w:pPr>
      <w:r>
        <w:rPr>
          <w:b/>
        </w:rPr>
        <w:t>H1 → H2:</w:t>
      </w:r>
      <w:r>
        <w:rPr/>
        <w:t xml:space="preserve"> falling behind opens a bigger gap to the bus ahead, and a bigger gap means more passengers waiting — load rises from 9.1 to 17.9 as the headway grows past 20 minutes — which lengthens the dwell again.</w:t>
      </w:r>
    </w:p>
    <w:p>
      <w:pPr>
        <w:pStyle w:val="ListBullet"/>
        <w:spacing w:after="60"/>
      </w:pPr>
      <w:r>
        <w:rPr>
          <w:b/>
        </w:rPr>
        <w:t>→ H3:</w:t>
      </w:r>
      <w:r>
        <w:rPr/>
        <w:t xml:space="preserve"> each turn of the loop amplifies the previous one, so the spacing between buses gets more uneven the further along the route they go (CV 0.39 → 0.58), while the bus behind, with a short headway, finds empty stops and catches up. That is bus bunching.</w:t>
      </w:r>
    </w:p>
    <w:p>
      <w:pPr>
        <w:pStyle w:val="ListBullet"/>
        <w:spacing w:after="60"/>
      </w:pPr>
      <w:r>
        <w:rPr/>
        <w:t>The cycle is consistent with the demand pattern shown in the boardings heatmap: the delay starts at the few very busy stops early in the route and then grows downstream.</w:t>
      </w:r>
    </w:p>
    <w:p>
      <w:pPr>
        <w:keepNext w:val="0"/>
      </w:pPr>
      <w:r>
        <w:rPr>
          <w:b/>
        </w:rPr>
        <w:t>Limitations</w:t>
      </w:r>
    </w:p>
    <w:p>
      <w:pPr>
        <w:pStyle w:val="ListBullet"/>
        <w:spacing w:after="60"/>
      </w:pPr>
      <w:r>
        <w:rPr/>
        <w:t xml:space="preserve">These are </w:t>
      </w:r>
      <w:r>
        <w:rPr>
          <w:b/>
        </w:rPr>
        <w:t>associations, not proof of cause</w:t>
      </w:r>
      <w:r>
        <w:rPr/>
        <w:t>. The tests show the variables move together; they cannot by themselves prove that demand causes bunching.</w:t>
      </w:r>
    </w:p>
    <w:p>
      <w:pPr>
        <w:pStyle w:val="ListBullet"/>
        <w:spacing w:after="60"/>
      </w:pPr>
      <w:r>
        <w:rPr>
          <w:b/>
        </w:rPr>
        <w:t>One route, one direction, one period:</w:t>
      </w:r>
      <w:r>
        <w:rPr/>
        <w:t xml:space="preserve"> Route 801 southbound, July–December 2021, weekdays 07:00–17:59 only. The results need not hold for other routes, the northbound direction, weekends or off-peak hours.</w:t>
      </w:r>
    </w:p>
    <w:p>
      <w:pPr>
        <w:pStyle w:val="ListBullet"/>
        <w:spacing w:after="60"/>
      </w:pPr>
      <w:r>
        <w:rPr>
          <w:b/>
        </w:rPr>
        <w:t>APC counting errors:</w:t>
      </w:r>
      <w:r>
        <w:rPr/>
        <w:t xml:space="preserve"> automatic counters miscount at crowded doors; extreme values (above 40 boardings, dwell above 10 min) were removed and imputed during cleaning, but smaller errors remain.</w:t>
      </w:r>
    </w:p>
    <w:p>
      <w:pPr>
        <w:pStyle w:val="ListBullet"/>
        <w:spacing w:after="60"/>
      </w:pPr>
      <w:r>
        <w:rPr>
          <w:b/>
        </w:rPr>
        <w:t>Missing trips:</w:t>
      </w:r>
      <w:r>
        <w:rPr/>
        <w:t xml:space="preserve"> some scheduled trips are not in the APC data. Only headways between buses scheduled exactly 10 minutes apart were kept (51,437 of them), so a part of the real variation is excluded.</w:t>
      </w:r>
    </w:p>
    <w:p>
      <w:pPr>
        <w:pStyle w:val="ListBullet"/>
        <w:spacing w:after="60"/>
      </w:pPr>
      <w:r>
        <w:rPr>
          <w:b/>
        </w:rPr>
        <w:t>2021 is a recovery year:</w:t>
      </w:r>
      <w:r>
        <w:rPr/>
        <w:t xml:space="preserve"> ridership was still affected by COVID-19, so absolute passenger counts are lower than in a normal year, even if the relationships hold.</w:t>
      </w:r>
    </w:p>
    <w:p>
      <w:pPr>
        <w:pStyle w:val="Heading1"/>
      </w:pPr>
      <w:r>
        <w:t>4. Conclusion</w:t>
      </w:r>
    </w:p>
    <w:p>
      <w:pPr>
        <w:pStyle w:val="ListBullet"/>
        <w:spacing w:after="60"/>
      </w:pPr>
      <w:r>
        <w:rPr>
          <w:b/>
        </w:rPr>
        <w:t>Data:</w:t>
      </w:r>
      <w:r>
        <w:rPr/>
        <w:t xml:space="preserve"> CapMetro APC records (Texas Open Data Portal, dataset </w:t>
      </w:r>
      <w:r>
        <w:rPr/>
        <w:t>im6q-3pc9</w:t>
      </w:r>
      <w:r>
        <w:rPr/>
        <w:t xml:space="preserve">) for </w:t>
      </w:r>
      <w:r>
        <w:rPr>
          <w:b/>
        </w:rPr>
        <w:t>Route 801 Rapid, southbound, 1 July – 30 December 2021</w:t>
      </w:r>
      <w:r>
        <w:rPr/>
        <w:t xml:space="preserve"> — 229,421 stop events at 29 stops from 9.2 million raw rows; the analysis window is weekdays 07:00–17:59, when buses are scheduled every 10 minutes (126,070 events, 131 service days).</w:t>
      </w:r>
    </w:p>
    <w:p>
      <w:pPr>
        <w:pStyle w:val="ListBullet"/>
        <w:spacing w:after="60"/>
      </w:pPr>
      <w:r>
        <w:rPr>
          <w:b/>
        </w:rPr>
        <w:t>Cleaning:</w:t>
      </w:r>
      <w:r>
        <w:rPr/>
        <w:t xml:space="preserve"> six filtering rules (route, assigned route, no error flags, valid stop, southbound), 7 duplicates dropped, 17,659 terminal records excluded because their "dwell" is layover time, impossible values (ons/offs above 40, dwell above 10 min) replaced by the stop-and-hour median — under 0.2% of records imputed — and only headways between buses scheduled exactly 10 minutes apart kept (51,437 valid headways).</w:t>
      </w:r>
    </w:p>
    <w:p>
      <w:pPr>
        <w:pStyle w:val="ListBullet"/>
        <w:spacing w:after="60"/>
      </w:pPr>
      <w:r>
        <w:rPr>
          <w:b/>
        </w:rPr>
        <w:t>Demand is concentrated, not spread out:</w:t>
      </w:r>
      <w:r>
        <w:rPr/>
        <w:t xml:space="preserve"> stop 1 is the busiest with about </w:t>
      </w:r>
      <w:r>
        <w:rPr>
          <w:b/>
        </w:rPr>
        <w:t>429 boardings per weekday</w:t>
      </w:r>
      <w:r>
        <w:rPr/>
        <w:t xml:space="preserve"> (up to ~40 in a single hour, 07:00–10:00), followed by stop 5 (~323, peaking 06:00–09:00) and stop 19 (~201, peaking 15:00–17:00); stops after 20 are mostly alighting stops.</w:t>
      </w:r>
    </w:p>
    <w:p>
      <w:pPr>
        <w:pStyle w:val="ListBullet"/>
        <w:spacing w:after="60"/>
      </w:pPr>
      <w:r>
        <w:rPr>
          <w:i/>
        </w:rPr>
        <w:t>[Ridership patterns: to be added from Elijah's section]</w:t>
      </w:r>
    </w:p>
    <w:p>
      <w:pPr>
        <w:pStyle w:val="ListBullet"/>
        <w:spacing w:after="60"/>
      </w:pPr>
      <w:r>
        <w:rPr>
          <w:b/>
        </w:rPr>
        <w:t>All three hypotheses are supported</w:t>
      </w:r>
      <w:r>
        <w:rPr/>
        <w:t xml:space="preserve"> (alpha = 0.05):</w:t>
      </w:r>
    </w:p>
    <w:p>
      <w:pPr>
        <w:pStyle w:val="ListBullet2"/>
        <w:spacing w:after="60"/>
      </w:pPr>
      <w:r>
        <w:rPr>
          <w:b/>
        </w:rPr>
        <w:t>H1 — demand follows the gap:</w:t>
      </w:r>
      <w:r>
        <w:rPr/>
        <w:t xml:space="preserve"> mean load rises from </w:t>
      </w:r>
      <w:r>
        <w:rPr>
          <w:b/>
        </w:rPr>
        <w:t>9.1 passengers</w:t>
      </w:r>
      <w:r>
        <w:rPr/>
        <w:t xml:space="preserve"> after a 0–5 min headway to </w:t>
      </w:r>
      <w:r>
        <w:rPr>
          <w:b/>
        </w:rPr>
        <w:t>17.9</w:t>
      </w:r>
      <w:r>
        <w:rPr/>
        <w:t xml:space="preserve"> after 20+ min (Spearman rho = 0.349; Kruskal-Wallis H = 5,883.4, df = 4; both p &lt; 0.001).</w:t>
      </w:r>
    </w:p>
    <w:p>
      <w:pPr>
        <w:pStyle w:val="ListBullet2"/>
        <w:spacing w:after="60"/>
      </w:pPr>
      <w:r>
        <w:rPr>
          <w:b/>
        </w:rPr>
        <w:t>H2 — passengers cost time:</w:t>
      </w:r>
      <w:r>
        <w:rPr/>
        <w:t xml:space="preserve"> every boarding adds about </w:t>
      </w:r>
      <w:r>
        <w:rPr>
          <w:b/>
        </w:rPr>
        <w:t>6.9 s</w:t>
      </w:r>
      <w:r>
        <w:rPr/>
        <w:t xml:space="preserve"> and every alighting about </w:t>
      </w:r>
      <w:r>
        <w:rPr>
          <w:b/>
        </w:rPr>
        <w:t>3.7 s</w:t>
      </w:r>
      <w:r>
        <w:rPr/>
        <w:t xml:space="preserve"> of dwell time (OLS, n = 116,697, R² = 0.180, p &lt; 0.001); mean dwell goes from 16.9 s with no boardings to 111.8 s at 20 boardings.</w:t>
      </w:r>
    </w:p>
    <w:p>
      <w:pPr>
        <w:pStyle w:val="ListBullet2"/>
        <w:spacing w:after="60"/>
      </w:pPr>
      <w:r>
        <w:rPr>
          <w:b/>
        </w:rPr>
        <w:t>H3 — bunching grows along the route:</w:t>
      </w:r>
      <w:r>
        <w:rPr/>
        <w:t xml:space="preserve"> mean headway irregularity rises from </w:t>
      </w:r>
      <w:r>
        <w:rPr>
          <w:b/>
        </w:rPr>
        <w:t>CV 0.39 at stop 2 to 0.58 at stop 28</w:t>
      </w:r>
      <w:r>
        <w:rPr/>
        <w:t xml:space="preserve"> (+51%, peak 0.62 at stop 27; Spearman rho = 0.955, p &lt; 0.001).</w:t>
      </w:r>
    </w:p>
    <w:p>
      <w:pPr>
        <w:pStyle w:val="ListBullet"/>
        <w:spacing w:after="60"/>
      </w:pPr>
      <w:r>
        <w:rPr>
          <w:b/>
        </w:rPr>
        <w:t>Overall:</w:t>
      </w:r>
      <w:r>
        <w:rPr/>
        <w:t xml:space="preserve"> the three results close a self-reinforcing loop — more passengers → longer dwell → the bus falls behind → a bigger gap → still more passengers — so Route 801 does not keep its 10-minute spacing, and the unevenness is worst at the end of the route; the evidence is strong association, not proof of cause.</w:t>
      </w:r>
    </w:p>
    <w:p>
      <w:pPr>
        <w:pStyle w:val="ListBullet"/>
        <w:spacing w:after="60"/>
      </w:pPr>
      <w:r>
        <w:rPr>
          <w:b/>
        </w:rPr>
        <w:t>Recommendation:</w:t>
      </w:r>
      <w:r>
        <w:rPr/>
        <w:t xml:space="preserve"> break the loop early rather than late — apply </w:t>
      </w:r>
      <w:r>
        <w:rPr>
          <w:b/>
        </w:rPr>
        <w:t>holding control</w:t>
      </w:r>
      <w:r>
        <w:rPr/>
        <w:t xml:space="preserve"> at a mid-route timing point (hold a bus that is running close behind the one ahead) and </w:t>
      </w:r>
      <w:r>
        <w:rPr>
          <w:b/>
        </w:rPr>
        <w:t>speed up boarding</w:t>
      </w:r>
      <w:r>
        <w:rPr/>
        <w:t xml:space="preserve"> at the three heavy stops (1, 5 and 19) through all-door boarding or off-board fare payment, since boarding time is the single largest controllable term in the dwell model.</w:t>
      </w:r>
    </w:p>
    <w:sectPr w:rsidR="00FC693F" w:rsidRPr="0006063C" w:rsidSect="00034616">
      <w:footerReference w:type="default" r:id="rId14"/>
      <w:pgSz w:w="11906" w:h="16838"/>
      <w:pgMar w:top="1440" w:right="1440" w:bottom="1440" w:left="1440"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Times New Roman" w:hAnsi="Times New Roman" w:eastAsia="Times New Roman"/>
      <w:b/>
      <w:bCs/>
      <w:color w:val="0B0B0B"/>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Times New Roman" w:hAnsi="Times New Roman" w:eastAsia="Times New Roman"/>
      <w:b/>
      <w:bCs/>
      <w:color w:val="0B0B0B"/>
      <w:sz w:val="26"/>
      <w:szCs w:val="26"/>
    </w:rPr>
  </w:style>
  <w:style w:type="paragraph" w:styleId="Heading3">
    <w:name w:val="heading 3"/>
    <w:basedOn w:val="Normal"/>
    <w:next w:val="Normal"/>
    <w:link w:val="Heading3Char"/>
    <w:uiPriority w:val="9"/>
    <w:unhideWhenUsed/>
    <w:qFormat/>
    <w:rsid w:val="00FC693F"/>
    <w:pPr>
      <w:keepNext/>
      <w:keepLines/>
      <w:spacing w:before="240" w:after="120"/>
      <w:outlineLvl w:val="2"/>
    </w:pPr>
    <w:rPr>
      <w:rFonts w:asciiTheme="majorHAnsi" w:eastAsiaTheme="majorEastAsia" w:hAnsiTheme="majorHAnsi" w:cstheme="majorBidi" w:ascii="Times New Roman" w:hAnsi="Times New Roman" w:eastAsia="Times New Roman"/>
      <w:b/>
      <w:bCs/>
      <w:color w:val="0B0B0B"/>
      <w:sz w:val="24"/>
    </w:rPr>
  </w:style>
  <w:style w:type="paragraph" w:styleId="Heading4">
    <w:name w:val="heading 4"/>
    <w:basedOn w:val="Normal"/>
    <w:next w:val="Normal"/>
    <w:link w:val="Heading4Char"/>
    <w:uiPriority w:val="9"/>
    <w:semiHidden/>
    <w:unhideWhenUsed/>
    <w:qFormat/>
    <w:rsid w:val="00FC693F"/>
    <w:pPr>
      <w:keepNext/>
      <w:keepLines/>
      <w:spacing w:before="240" w:after="120"/>
      <w:outlineLvl w:val="3"/>
    </w:pPr>
    <w:rPr>
      <w:rFonts w:asciiTheme="majorHAnsi" w:eastAsiaTheme="majorEastAsia" w:hAnsiTheme="majorHAnsi" w:cstheme="majorBidi" w:ascii="Times New Roman" w:hAnsi="Times New Roman" w:eastAsia="Times New Roman"/>
      <w:b/>
      <w:bCs/>
      <w:i/>
      <w:iCs/>
      <w:color w:val="0B0B0B"/>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