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Action (before 2026-06-03 calibration test):</w:t>
      </w:r>
      <w:r>
        <w:t xml:space="preserve"> add </w:t>
      </w:r>
      <w:r>
        <w:rPr>
          <w:rFonts w:ascii="Consolas" w:hAnsi="Consolas"/>
          <w:sz w:val="18"/>
        </w:rPr>
        <w:t>INTELX_API_KEY</w:t>
      </w:r>
      <w:r>
        <w:t xml:space="preserve"> to</w:t>
      </w:r>
    </w:p>
    <w:p>
      <w:r>
        <w:t xml:space="preserve">  </w:t>
      </w:r>
      <w:r>
        <w:rPr>
          <w:b/>
        </w:rPr>
        <w:t>Render</w:t>
      </w:r>
      <w:r>
        <w:t xml:space="preserve"> (it's currently set locally but NOT on Render — that's why prod</w:t>
      </w:r>
    </w:p>
    <w:p>
      <w:r>
        <w:t xml:space="preserve">  has no IntelX/forum signal while local does). This makes the credential</w:t>
      </w:r>
    </w:p>
    <w:p>
      <w:r>
        <w:t xml:space="preserve">  correlation's signal-4 active on prod for Wednesday's supply-chain</w:t>
      </w:r>
    </w:p>
    <w:p>
      <w:r>
        <w:t xml:space="preserve">  calibration run.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Same reassigned-IP risk as the RDP/origin case.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5j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Recency clustering INSIDE the encrypted export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The on-demand encrypted CSV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, Manual §6.4) currently has no dates — only </w:t>
            </w:r>
            <w:r>
              <w:rPr>
                <w:rFonts w:ascii="Consolas" w:hAnsi="Consolas"/>
                <w:sz w:val="19"/>
              </w:rPr>
              <w:t>email,username,password,hashed_password,database</w:t>
            </w:r>
            <w:r>
              <w:rPr>
                <w:sz w:val="19"/>
              </w:rPr>
              <w:t xml:space="preserve"> — so the client cannot reproduce the dashboard's recency-band "clustering" from the file. Fix: add </w:t>
            </w:r>
            <w:r>
              <w:rPr>
                <w:rFonts w:ascii="Consolas" w:hAnsi="Consolas"/>
                <w:sz w:val="19"/>
              </w:rPr>
              <w:t>breach_date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recency_band</w:t>
            </w:r>
            <w:r>
              <w:rPr>
                <w:sz w:val="19"/>
              </w:rPr>
              <w:t xml:space="preserve"> columns by joining each record's </w:t>
            </w:r>
            <w:r>
              <w:rPr>
                <w:rFonts w:ascii="Consolas" w:hAnsi="Consolas"/>
                <w:sz w:val="19"/>
              </w:rPr>
              <w:t>database</w:t>
            </w:r>
            <w:r>
              <w:rPr>
                <w:sz w:val="19"/>
              </w:rPr>
              <w:t xml:space="preserve"> to the same per-source date-guesstimate the correlation card already uses (enriched_sources breach_date + </w:t>
            </w:r>
            <w:r>
              <w:rPr>
                <w:rFonts w:ascii="Consolas" w:hAnsi="Consolas"/>
                <w:sz w:val="19"/>
              </w:rPr>
              <w:t>KNOWN_BREACH_DATES</w:t>
            </w:r>
            <w:r>
              <w:rPr>
                <w:sz w:val="19"/>
              </w:rPr>
              <w:t xml:space="preserve">). </w:t>
            </w:r>
            <w:r>
              <w:rPr>
                <w:b/>
                <w:sz w:val="19"/>
              </w:rPr>
              <w:t>Encryption is unaffected</w:t>
            </w:r>
            <w:r>
              <w:rPr>
                <w:sz w:val="19"/>
              </w:rPr>
              <w:t xml:space="preserve"> — we encrypt whatever bytes we build, so enriching columns is orthogonal to age/AES. </w:t>
            </w:r>
            <w:r>
              <w:rPr>
                <w:b/>
                <w:sz w:val="19"/>
              </w:rPr>
              <w:t>Honest limitation:</w:t>
            </w:r>
            <w:r>
              <w:rPr>
                <w:sz w:val="19"/>
              </w:rPr>
              <w:t xml:space="preserve"> DeHashed records carry no reliable per-credential date, so the band is per-SOURCE, not per-record (same caveat the recency timeline already has). The export re-queries DeHashed live and doesn't load the scan, so it must re-derive source dates at export time (or be passed the scan's </w:t>
            </w:r>
            <w:r>
              <w:rPr>
                <w:rFonts w:ascii="Consolas" w:hAnsi="Consolas"/>
                <w:sz w:val="19"/>
              </w:rPr>
              <w:t>dehashed.enriched_sources</w:t>
            </w:r>
            <w:r>
              <w:rPr>
                <w:sz w:val="19"/>
              </w:rPr>
              <w:t>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 IntelX / Hudson-Rock dump references — "most recent leaks/circulations" view (on client request)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Open. The genuinely-fresh exposure (e.g. phishield's 30-90d band = 4 IntelX stealer-log postings, Mar-Apr 2026, incl. a SA-tagged victim log </w:t>
            </w:r>
            <w:r>
              <w:rPr>
                <w:rFonts w:ascii="Consolas" w:hAnsi="Consolas"/>
                <w:sz w:val="19"/>
              </w:rPr>
              <w:t>48438_ZA_169.0.21.31</w:t>
            </w:r>
            <w:r>
              <w:rPr>
                <w:sz w:val="19"/>
              </w:rPr>
              <w:t xml:space="preserve"> infected 2026-02-21) lives in the </w:t>
            </w:r>
            <w:r>
              <w:rPr>
                <w:b/>
                <w:sz w:val="19"/>
              </w:rPr>
              <w:t>IntelX channel and is NOT in the DeHashed export</w:t>
            </w:r>
            <w:r>
              <w:rPr>
                <w:sz w:val="19"/>
              </w:rPr>
              <w:t xml:space="preserve">. Goal: surface a date-ordered list of the most recent dump references so the client can act. Two tiers: (a) </w:t>
            </w:r>
            <w:r>
              <w:rPr>
                <w:b/>
                <w:sz w:val="19"/>
              </w:rPr>
              <w:t>listing-only (free)</w:t>
            </w:r>
            <w:r>
              <w:rPr>
                <w:sz w:val="19"/>
              </w:rPr>
              <w:t xml:space="preserve"> — name/date/media/type we already capture in </w:t>
            </w:r>
            <w:r>
              <w:rPr>
                <w:rFonts w:ascii="Consolas" w:hAnsi="Consolas"/>
                <w:sz w:val="19"/>
              </w:rPr>
              <w:t>intelx.recent_results</w:t>
            </w:r>
            <w:r>
              <w:rPr>
                <w:sz w:val="19"/>
              </w:rPr>
              <w:t xml:space="preserve">; (b) </w:t>
            </w:r>
            <w:r>
              <w:rPr>
                <w:b/>
                <w:sz w:val="19"/>
              </w:rPr>
              <w:t>content-fetch (costs IntelX credits, on explicit request)</w:t>
            </w:r>
            <w:r>
              <w:rPr>
                <w:sz w:val="19"/>
              </w:rPr>
              <w:t xml:space="preserve"> — pull the dump body to confirm match TYPE, since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= site merely visited whereas </w:t>
            </w:r>
            <w:r>
              <w:rPr>
                <w:rFonts w:ascii="Consolas" w:hAnsi="Consolas"/>
                <w:sz w:val="19"/>
              </w:rPr>
              <w:t>Passwords/</w:t>
            </w:r>
            <w:r>
              <w:rPr>
                <w:sz w:val="19"/>
              </w:rPr>
              <w:t>+</w:t>
            </w:r>
            <w:r>
              <w:rPr>
                <w:rFonts w:ascii="Consolas" w:hAnsi="Consolas"/>
                <w:sz w:val="19"/>
              </w:rPr>
              <w:t>Autofill/</w:t>
            </w:r>
            <w:r>
              <w:rPr>
                <w:sz w:val="19"/>
              </w:rPr>
              <w:t xml:space="preserve"> = credential actually stolen (the free listing can't distinguish). Include these references in the encrypted export and/or report appendix. Pairs with [5j].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  <w:r>
              <w:rPr>
                <w:sz w:val="19"/>
              </w:rPr>
              <w:t xml:space="preserve"> (ticket, NOT done)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Two tweaks to </w:t>
            </w:r>
            <w:r>
              <w:rPr>
                <w:rFonts w:ascii="Consolas" w:hAnsi="Consolas"/>
                <w:sz w:val="19"/>
              </w:rPr>
              <w:t>CredentialRiskClassifier</w:t>
            </w:r>
            <w:r>
              <w:rPr>
                <w:sz w:val="19"/>
              </w:rPr>
              <w:t xml:space="preserve">, both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(empirical anchors + sign-off, per the scoring-change rule): (1) the IntelX paste/dark-web deductions are </w:t>
            </w:r>
            <w:r>
              <w:rPr>
                <w:b/>
                <w:sz w:val="19"/>
              </w:rPr>
              <w:t>per-mention and uncapped</w:t>
            </w:r>
            <w:r>
              <w:rPr>
                <w:sz w:val="19"/>
              </w:rPr>
              <w:t xml:space="preserve"> (40 pastes → −120, floored at 0) — can out-deduct Hudson Rock's flat −50 in the raw 0-100 score even though HR sets the higher </w:t>
            </w:r>
            <w:r>
              <w:rPr>
                <w:i/>
                <w:sz w:val="19"/>
              </w:rPr>
              <w:t>level</w:t>
            </w:r>
            <w:r>
              <w:rPr>
                <w:sz w:val="19"/>
              </w:rPr>
              <w:t xml:space="preserve">; add a cap. (2) </w:t>
            </w:r>
            <w:r>
              <w:rPr>
                <w:b/>
                <w:sz w:val="19"/>
              </w:rPr>
              <w:t>Date-gate the HR CRITICAL</w:t>
            </w:r>
            <w:r>
              <w:rPr>
                <w:sz w:val="19"/>
              </w:rPr>
              <w:t xml:space="preserve"> so a </w:t>
            </w:r>
            <w:r>
              <w:rPr>
                <w:i/>
                <w:sz w:val="19"/>
              </w:rPr>
              <w:t>stale</w:t>
            </w:r>
            <w:r>
              <w:rPr>
                <w:sz w:val="19"/>
              </w:rPr>
              <w:t xml:space="preserve"> infostealer infection (old </w:t>
            </w:r>
            <w:r>
              <w:rPr>
                <w:rFonts w:ascii="Consolas" w:hAnsi="Consolas"/>
                <w:sz w:val="19"/>
              </w:rPr>
              <w:t>last_compromised</w:t>
            </w:r>
            <w:r>
              <w:rPr>
                <w:sz w:val="19"/>
              </w:rPr>
              <w:t xml:space="preserve">) doesn't auto-force CRITICAL — use the new </w:t>
            </w:r>
            <w:r>
              <w:rPr>
                <w:rFonts w:ascii="Consolas" w:hAnsi="Consolas"/>
                <w:sz w:val="19"/>
              </w:rPr>
              <w:t>days_since_compromise</w:t>
            </w:r>
            <w:r>
              <w:rPr>
                <w:sz w:val="19"/>
              </w:rPr>
              <w:t xml:space="preserve">. The Credential Exposure Correlation (reporting) already does this date-anchoring; this would align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with it.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