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40"/>
        </w:rPr>
        <w:t>Outstanding Items</w:t>
      </w:r>
    </w:p>
    <w:p>
      <w:pPr>
        <w:jc w:val="center"/>
      </w:pPr>
      <w:r>
        <w:rPr>
          <w:i/>
          <w:color w:val="64748B"/>
          <w:sz w:val="18"/>
        </w:rPr>
        <w:t>Generated from OUTSTANDING.md</w:t>
      </w:r>
    </w:p>
    <w:p/>
    <w:p>
      <w:r>
        <w:rPr>
          <w:b/>
        </w:rPr>
        <w:t>Last updated</w:t>
      </w:r>
      <w:r>
        <w:t>: 2026-06-11</w:t>
      </w:r>
    </w:p>
    <w:p>
      <w:r>
        <w:rPr>
          <w:b/>
        </w:rPr>
        <w:t>Owner</w:t>
      </w:r>
      <w:r>
        <w:t>: SML Consulting (engineering) + Phishield UMA (ops)</w:t>
      </w:r>
    </w:p>
    <w:p>
      <w:r>
        <w:rPr>
          <w:b/>
        </w:rPr>
        <w:t>Authoritative source</w:t>
      </w:r>
      <w:r>
        <w:t xml:space="preserve"> for items pending across the scanner project.</w:t>
      </w:r>
    </w:p>
    <w:p>
      <w:r>
        <w:t>Consolidates open items from gap analysis SCN-* entries, memory files,</w:t>
      </w:r>
    </w:p>
    <w:p>
      <w:r>
        <w:t>and session-level decisions. Update this file whenever a new</w:t>
      </w:r>
    </w:p>
    <w:p>
      <w:r>
        <w:t>outstanding item lands.</w:t>
      </w:r>
    </w:p>
    <w:p>
      <w:r>
        <w:rPr>
          <w:b/>
        </w:rPr>
        <w:t>File pair:</w:t>
      </w:r>
    </w:p>
    <w:p>
      <w:pPr>
        <w:pStyle w:val="ListBullet"/>
      </w:pPr>
      <w:r>
        <w:rPr>
          <w:rFonts w:ascii="Consolas" w:hAnsi="Consolas"/>
          <w:sz w:val="18"/>
        </w:rPr>
        <w:t>OUTSTANDING.md</w:t>
      </w:r>
      <w:r>
        <w:t xml:space="preserve"> (this file) is the live working version — edit here.</w:t>
      </w:r>
    </w:p>
    <w:p>
      <w:pPr>
        <w:pStyle w:val="ListBullet"/>
      </w:pPr>
      <w:r>
        <w:rPr>
          <w:rFonts w:ascii="Consolas" w:hAnsi="Consolas"/>
          <w:sz w:val="18"/>
        </w:rPr>
        <w:t>OUTSTANDING.docx</w:t>
      </w:r>
      <w:r>
        <w:t xml:space="preserve"> is a polished read-only snapshot for easy reading.</w:t>
      </w:r>
    </w:p>
    <w:p>
      <w:r>
        <w:t xml:space="preserve">  Regenerate after each edit with </w:t>
      </w:r>
      <w:r>
        <w:rPr>
          <w:rFonts w:ascii="Consolas" w:hAnsi="Consolas"/>
          <w:sz w:val="18"/>
        </w:rPr>
        <w:t>py -3 tooling/generate_outstanding_docx.py</w:t>
      </w:r>
    </w:p>
    <w:p>
      <w:r>
        <w:t xml:space="preserve">  (from the </w:t>
      </w:r>
      <w:r>
        <w:rPr>
          <w:rFonts w:ascii="Consolas" w:hAnsi="Consolas"/>
          <w:sz w:val="18"/>
        </w:rPr>
        <w:t>security_scanner/</w:t>
      </w:r>
      <w:r>
        <w:t xml:space="preserve"> directory). The script applies Phishield</w:t>
      </w:r>
    </w:p>
    <w:p>
      <w:r>
        <w:t xml:space="preserve">  branding and formats tables for printable / shareable output.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Hosting / infrastructure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Cloudflare / Hetzner proxy for `phishield.com/scanner-info`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hosting-company action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team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Tuesday 2026-05-19 (WordPress → HTML cutover). Handoff doc at </w:t>
            </w:r>
            <w:r>
              <w:rPr>
                <w:rFonts w:ascii="Consolas" w:hAnsi="Consolas"/>
                <w:sz w:val="19"/>
              </w:rPr>
              <w:t>docs/scanner_info_proxy_setup.md</w:t>
            </w:r>
            <w:r>
              <w:rPr>
                <w:sz w:val="19"/>
              </w:rPr>
              <w:t>. Options: static copy (simplest), nginx reverse-proxy (cleanest), Cloudflare layer (long-term).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User-Agent flip back to canonical `phishield.com/scanner-info`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Blocked by proxy above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After hosting team confirms </w:t>
            </w:r>
            <w:r>
              <w:rPr>
                <w:rFonts w:ascii="Consolas" w:hAnsi="Consolas"/>
                <w:sz w:val="19"/>
              </w:rPr>
              <w:t>phishield.com/scanner-info</w:t>
            </w:r>
            <w:r>
              <w:rPr>
                <w:sz w:val="19"/>
              </w:rPr>
              <w:t xml:space="preserve"> returns 200. Single-line change in </w:t>
            </w:r>
            <w:r>
              <w:rPr>
                <w:rFonts w:ascii="Consolas" w:hAnsi="Consolas"/>
                <w:sz w:val="19"/>
              </w:rPr>
              <w:t>http_client.py</w:t>
            </w:r>
            <w:r>
              <w:rPr>
                <w:sz w:val="19"/>
              </w:rPr>
              <w:t xml:space="preserve"> USER_AGENT constant.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GCP / Vertex AI migration of scanner backend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ops + engineering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fixed date. Adds protected environment + LLM-augmented analysis. When this lands: re-run scanner-info IP-range description; update User-Agent host; migrate </w:t>
            </w:r>
            <w:r>
              <w:rPr>
                <w:rFonts w:ascii="Consolas" w:hAnsi="Consolas"/>
                <w:sz w:val="19"/>
              </w:rPr>
              <w:t>scans.db</w:t>
            </w:r>
            <w:r>
              <w:rPr>
                <w:sz w:val="19"/>
              </w:rPr>
              <w:t xml:space="preserve"> from SQLite-on-Render to Cloud SQL Postgres. </w:t>
            </w:r>
            <w:r>
              <w:rPr>
                <w:b/>
                <w:sz w:val="19"/>
              </w:rPr>
              <w:t>Now also load-bearing for the encrypted-export enrichment (5j/5k):</w:t>
            </w:r>
            <w:r>
              <w:rPr>
                <w:sz w:val="19"/>
              </w:rPr>
              <w:t xml:space="preserve"> the export pulls recency dates + IntelX leak-refs from the domain's last scan, but Render's free-tier disk is </w:t>
            </w:r>
            <w:r>
              <w:rPr>
                <w:b/>
                <w:sz w:val="19"/>
              </w:rPr>
              <w:t>ephemeral and wipes `scans.db` on every deploy</w:t>
            </w:r>
            <w:r>
              <w:rPr>
                <w:sz w:val="19"/>
              </w:rPr>
              <w:t xml:space="preserve"> — so a scan→deploy→export sequence silently drops the dates/leak-refs (export still returns credentials, just un-clustered). Persistent DB removes this. Interim: re-scan before exporting if a deploy has occurred.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Eventual move to Hetzner self-hosted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Future-future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After GCP/Vertex experience accumulated.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Enable API auth (`SCANNER_API_KEY`)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Code shipped 2026-06-11, env var NOT yet set (auth is opt-in / off)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 + frontend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</w:t>
            </w:r>
            <w:r>
              <w:rPr>
                <w:rFonts w:ascii="Consolas" w:hAnsi="Consolas"/>
                <w:sz w:val="19"/>
              </w:rPr>
              <w:t>SCANNER_API_KEY</w:t>
            </w:r>
            <w:r>
              <w:rPr>
                <w:sz w:val="19"/>
              </w:rPr>
              <w:t xml:space="preserve"> on Render AND add the matching </w:t>
            </w:r>
            <w:r>
              <w:rPr>
                <w:rFonts w:ascii="Consolas" w:hAnsi="Consolas"/>
                <w:sz w:val="19"/>
              </w:rPr>
              <w:t>X-Api-Key</w:t>
            </w:r>
            <w:r>
              <w:rPr>
                <w:sz w:val="19"/>
              </w:rPr>
              <w:t xml:space="preserve"> header to the Vercel frontend's calls to </w:t>
            </w:r>
            <w:r>
              <w:rPr>
                <w:rFonts w:ascii="Consolas" w:hAnsi="Consolas"/>
                <w:sz w:val="19"/>
              </w:rPr>
              <w:t>/api/scan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/api/preflight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/api/credential-export</w:t>
            </w:r>
            <w:r>
              <w:rPr>
                <w:sz w:val="19"/>
              </w:rPr>
              <w:t>, balance endpoints. Order matters: frontend first or simultaneously, else scans 401. Rate limiting (per-IP, env-tunable) is already live and needs nothing.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`vendor_breaches.json` — Adobe/Marketo watch item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2021 </w:t>
            </w:r>
            <w:r>
              <w:rPr>
                <w:rFonts w:ascii="Consolas" w:hAnsi="Consolas"/>
                <w:sz w:val="19"/>
              </w:rPr>
              <w:t>marketo</w:t>
            </w:r>
            <w:r>
              <w:rPr>
                <w:sz w:val="19"/>
              </w:rPr>
              <w:t xml:space="preserve"> row PRUNED 2026-06-11 (aged out of the 5-yr lookback; decayed contribution was ~0.5%).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WATCH: alleged Adobe breach early-April 2026 (UNC6783, ~13M support tickets via compromised BPO; Marketo Engage plausibly in scope). Confirmed-only DB discipline — add a fresh row with the 2026 date if/when Adobe confirms. Details in </w:t>
            </w:r>
            <w:r>
              <w:rPr>
                <w:rFonts w:ascii="Consolas" w:hAnsi="Consolas"/>
                <w:sz w:val="19"/>
              </w:rPr>
              <w:t>vendor_breaches.json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_pruned</w:t>
            </w:r>
            <w:r>
              <w:rPr>
                <w:sz w:val="19"/>
              </w:rPr>
              <w:t>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2. External API budget (Phase 2 unblockers)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tier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tier for 4,000-cohort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Estimated monthly cost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Action by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Shodan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Free </w:t>
            </w:r>
            <w:r>
              <w:rPr>
                <w:rFonts w:ascii="Consolas" w:hAnsi="Consolas"/>
                <w:sz w:val="19"/>
              </w:rPr>
              <w:t>oss</w:t>
            </w:r>
            <w:r>
              <w:rPr>
                <w:sz w:val="19"/>
              </w:rPr>
              <w:t xml:space="preserve"> (0 query credits — confirmed via </w:t>
            </w:r>
            <w:r>
              <w:rPr>
                <w:rFonts w:ascii="Consolas" w:hAnsi="Consolas"/>
                <w:sz w:val="19"/>
              </w:rPr>
              <w:t>/api-info</w:t>
            </w:r>
            <w:r>
              <w:rPr>
                <w:sz w:val="19"/>
              </w:rPr>
              <w:t xml:space="preserve"> 2026-05-29)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Freelancer ($69/mo, 10,000 query credits)</w:t>
            </w:r>
            <w:r>
              <w:rPr>
                <w:sz w:val="19"/>
              </w:rPr>
              <w:t xml:space="preserve"> unlocks search + origin cert-search. One-time </w:t>
            </w:r>
            <w:r>
              <w:rPr>
                <w:b/>
                <w:sz w:val="19"/>
              </w:rPr>
              <w:t>Membership (~$49, 100 credits/mo)</w:t>
            </w:r>
            <w:r>
              <w:rPr>
                <w:sz w:val="19"/>
              </w:rPr>
              <w:t xml:space="preserve"> is a low-volume stopgap.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~$69/mo (≈R1,300) if per-IP vuln data stays on free InternetDB and only origin cert-search spends credits (~1 credit/scan). Higher only if per-IP </w:t>
            </w:r>
            <w:r>
              <w:rPr>
                <w:rFonts w:ascii="Consolas" w:hAnsi="Consolas"/>
                <w:sz w:val="19"/>
              </w:rPr>
              <w:t>/shodan/host/{ip}</w:t>
            </w:r>
            <w:r>
              <w:rPr>
                <w:sz w:val="19"/>
              </w:rPr>
              <w:t xml:space="preserve"> lookups are also moved to the paid API.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Before 1 July 2026 — </w:t>
            </w:r>
            <w:r>
              <w:rPr>
                <w:b/>
                <w:sz w:val="19"/>
              </w:rPr>
              <w:t>also gates origin IP discovery (see §5, item 4c), which is a scanner-breaking RDP false-negative on CDN-fronted targets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SecurityTrails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(100/month; history endpoint works on current key — confirmed 2026-05-29, NOT paid-gated)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for sustained usage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Similar order of magnitude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VirusTotal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(4/min, 500/day)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IntelX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CRITICAL.</w:t>
            </w:r>
            <w:r>
              <w:rPr>
                <w:sz w:val="19"/>
              </w:rPr>
              <w:t xml:space="preserve"> Returning data in the 2026-05-29 live test (300 results: 260 leak + 40 paste mentions, with per-record dates) — the "expired 2026-04-08" note is stale, the configured key currently works. It is now </w:t>
            </w:r>
            <w:r>
              <w:rPr>
                <w:b/>
                <w:sz w:val="19"/>
              </w:rPr>
              <w:t>load-bearing</w:t>
            </w:r>
            <w:r>
              <w:rPr>
                <w:sz w:val="19"/>
              </w:rPr>
              <w:t xml:space="preserve">: the 4th signal (active forum/dump circulation + recency dates) in the </w:t>
            </w:r>
            <w:r>
              <w:rPr>
                <w:b/>
                <w:sz w:val="19"/>
              </w:rPr>
              <w:t>Credential Exposure Correlation</w:t>
            </w:r>
            <w:r>
              <w:rPr>
                <w:sz w:val="19"/>
              </w:rPr>
              <w:t>.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a sustainable IntelX subscription OR equivalent (Snusbase / LeakCheck Pro / SpyCloud) — must persist, not lapse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 — before shipping live.</w:t>
            </w:r>
            <w:r>
              <w:rPr>
                <w:sz w:val="19"/>
              </w:rPr>
              <w:t xml:space="preserve"> Credential correlation degrades gracefully without it ("monitoring pending") but loses the active-circulation signal + its main recency source.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HIBP, Hudson Rock, OSV.dev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unlimited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</w:tbl>
    <w:p/>
    <w:p>
      <w:pPr>
        <w:spacing w:before="200" w:after="40"/>
      </w:pPr>
      <w:r>
        <w:rPr>
          <w:b/>
          <w:color w:val="0F2744"/>
          <w:sz w:val="22"/>
        </w:rPr>
        <w:t>Shodan origin cert-search — how to make it live</w:t>
      </w:r>
    </w:p>
    <w:p>
      <w:r>
        <w:t>Origin IP discovery (</w:t>
      </w:r>
      <w:r>
        <w:rPr>
          <w:rFonts w:ascii="Consolas" w:hAnsi="Consolas"/>
          <w:sz w:val="18"/>
        </w:rPr>
        <w:t>origin_discovery.py</w:t>
      </w:r>
      <w:r>
        <w:t xml:space="preserve">) is </w:t>
      </w:r>
      <w:r>
        <w:rPr>
          <w:b/>
        </w:rPr>
        <w:t>already wired and deployed</w:t>
      </w:r>
      <w:r>
        <w:t>.</w:t>
      </w:r>
    </w:p>
    <w:p>
      <w:r>
        <w:t>It works in two stages and the paid stage **auto-activates the moment a paid</w:t>
      </w:r>
    </w:p>
    <w:p>
      <w:r>
        <w:t>key is in place — no code change or redeploy of logic is needed**:</w:t>
      </w:r>
    </w:p>
    <w:p>
      <w:pPr>
        <w:pStyle w:val="ListBullet"/>
      </w:pPr>
      <w:r>
        <w:rPr>
          <w:b/>
        </w:rPr>
        <w:t>Free stage (live now):</w:t>
      </w:r>
      <w:r>
        <w:t xml:space="preserve"> </w:t>
      </w:r>
      <w:r>
        <w:rPr>
          <w:rFonts w:ascii="Consolas" w:hAnsi="Consolas"/>
          <w:sz w:val="18"/>
        </w:rPr>
        <w:t>/shodan/host/count</w:t>
      </w:r>
      <w:r>
        <w:t xml:space="preserve"> returns how many internet</w:t>
      </w:r>
    </w:p>
    <w:p>
      <w:r>
        <w:t xml:space="preserve">   hosts present the target's TLS certificate. Surfaced in the report as the</w:t>
      </w:r>
    </w:p>
    <w:p>
      <w:r>
        <w:t xml:space="preserve">   "Origin IP Discovery" card. When that count exceeds the origins we confirm</w:t>
      </w:r>
    </w:p>
    <w:p>
      <w:r>
        <w:t xml:space="preserve">   via DNS history, the report flags a likely </w:t>
      </w:r>
      <w:r>
        <w:rPr>
          <w:b/>
        </w:rPr>
        <w:t>undiscovered exposed origin</w:t>
      </w:r>
      <w:r>
        <w:t>.</w:t>
      </w:r>
    </w:p>
    <w:p>
      <w:pPr>
        <w:pStyle w:val="ListBullet"/>
      </w:pPr>
      <w:r>
        <w:rPr>
          <w:b/>
        </w:rPr>
        <w:t>Paid stage (pending key):</w:t>
      </w:r>
      <w:r>
        <w:t xml:space="preserve"> </w:t>
      </w:r>
      <w:r>
        <w:rPr>
          <w:rFonts w:ascii="Consolas" w:hAnsi="Consolas"/>
          <w:sz w:val="18"/>
        </w:rPr>
        <w:t>/shodan/host/search</w:t>
      </w:r>
      <w:r>
        <w:t xml:space="preserve"> returns the actual</w:t>
      </w:r>
    </w:p>
    <w:p>
      <w:r>
        <w:t xml:space="preserve">   origin IPs. On the free </w:t>
      </w:r>
      <w:r>
        <w:rPr>
          <w:rFonts w:ascii="Consolas" w:hAnsi="Consolas"/>
          <w:sz w:val="18"/>
        </w:rPr>
        <w:t>oss</w:t>
      </w:r>
      <w:r>
        <w:t xml:space="preserve"> plan it returns HTTP 403 and we fall back to</w:t>
      </w:r>
    </w:p>
    <w:p>
      <w:r>
        <w:t xml:space="preserve">   count-only. On a paid plan it returns the IPs, which are then TLS-cert</w:t>
      </w:r>
    </w:p>
    <w:p>
      <w:r>
        <w:t xml:space="preserve">   verified and scanned like any other origin.</w:t>
      </w:r>
    </w:p>
    <w:p>
      <w:r>
        <w:rPr>
          <w:b/>
        </w:rPr>
        <w:t>Go-live steps:</w:t>
      </w:r>
    </w:p>
    <w:p>
      <w:pPr>
        <w:pStyle w:val="ListBullet"/>
      </w:pPr>
      <w:r>
        <w:t xml:space="preserve">Buy a Shodan plan — </w:t>
      </w:r>
      <w:r>
        <w:rPr>
          <w:b/>
        </w:rPr>
        <w:t>Freelancer ($69/mo)</w:t>
      </w:r>
      <w:r>
        <w:t xml:space="preserve"> recommended (10,000 query</w:t>
      </w:r>
    </w:p>
    <w:p>
      <w:r>
        <w:t xml:space="preserve">   credits/mo); or one-time </w:t>
      </w:r>
      <w:r>
        <w:rPr>
          <w:b/>
        </w:rPr>
        <w:t>Membership (~$49)</w:t>
      </w:r>
      <w:r>
        <w:t xml:space="preserve"> for low volume. Buy it on</w:t>
      </w:r>
    </w:p>
    <w:p>
      <w:r>
        <w:t xml:space="preserve">   the Shodan account </w:t>
      </w:r>
      <w:r>
        <w:rPr>
          <w:b/>
        </w:rPr>
        <w:t>whose API key is already set in Render</w:t>
      </w:r>
      <w:r>
        <w:t xml:space="preserve"> (so credits</w:t>
      </w:r>
    </w:p>
    <w:p>
      <w:r>
        <w:t xml:space="preserve">   attach to that key), or buy on a new account and update the key in step 2.</w:t>
      </w:r>
    </w:p>
    <w:p>
      <w:pPr>
        <w:pStyle w:val="ListBullet"/>
      </w:pPr>
      <w:r>
        <w:t xml:space="preserve">Set / confirm </w:t>
      </w:r>
      <w:r>
        <w:rPr>
          <w:rFonts w:ascii="Consolas" w:hAnsi="Consolas"/>
          <w:sz w:val="18"/>
        </w:rPr>
        <w:t>SHODAN_API_KEY</w:t>
      </w:r>
      <w:r>
        <w:t xml:space="preserve"> in the Render environment for the scanner</w:t>
      </w:r>
    </w:p>
    <w:p>
      <w:r>
        <w:t xml:space="preserve">   service (Render → service → Environment). No code change required.</w:t>
      </w:r>
    </w:p>
    <w:p>
      <w:pPr>
        <w:pStyle w:val="ListBullet"/>
      </w:pPr>
      <w:r>
        <w:t xml:space="preserve">(Optional) verify with </w:t>
      </w:r>
      <w:r>
        <w:rPr>
          <w:rFonts w:ascii="Consolas" w:hAnsi="Consolas"/>
          <w:sz w:val="18"/>
        </w:rPr>
        <w:t>GET https://api.shodan.io/api-info?key=...</w:t>
      </w:r>
      <w:r>
        <w:t xml:space="preserve"> —</w:t>
      </w:r>
    </w:p>
    <w:p>
      <w:r>
        <w:t xml:space="preserve">   </w:t>
      </w:r>
      <w:r>
        <w:rPr>
          <w:rFonts w:ascii="Consolas" w:hAnsi="Consolas"/>
          <w:sz w:val="18"/>
        </w:rPr>
        <w:t>query_credits</w:t>
      </w:r>
      <w:r>
        <w:t xml:space="preserve"> should be &gt; 0 and </w:t>
      </w:r>
      <w:r>
        <w:rPr>
          <w:rFonts w:ascii="Consolas" w:hAnsi="Consolas"/>
          <w:sz w:val="18"/>
        </w:rPr>
        <w:t>plan</w:t>
      </w:r>
      <w:r>
        <w:t xml:space="preserve"> should read </w:t>
      </w:r>
      <w:r>
        <w:rPr>
          <w:rFonts w:ascii="Consolas" w:hAnsi="Consolas"/>
          <w:sz w:val="18"/>
        </w:rPr>
        <w:t>dev</w:t>
      </w:r>
      <w:r>
        <w:t>/</w:t>
      </w:r>
      <w:r>
        <w:rPr>
          <w:rFonts w:ascii="Consolas" w:hAnsi="Consolas"/>
          <w:sz w:val="18"/>
        </w:rPr>
        <w:t>member</w:t>
      </w:r>
      <w:r>
        <w:t>/etc.,</w:t>
      </w:r>
    </w:p>
    <w:p>
      <w:r>
        <w:t xml:space="preserve">   not </w:t>
      </w:r>
      <w:r>
        <w:rPr>
          <w:rFonts w:ascii="Consolas" w:hAnsi="Consolas"/>
          <w:sz w:val="18"/>
        </w:rPr>
        <w:t>oss</w:t>
      </w:r>
      <w:r>
        <w:t>.</w:t>
      </w:r>
    </w:p>
    <w:p>
      <w:pPr>
        <w:pStyle w:val="ListBullet"/>
      </w:pPr>
      <w:r>
        <w:t>Next scan of a CDN-fronted domain will retrieve + verify + scan the real</w:t>
      </w:r>
    </w:p>
    <w:p>
      <w:r>
        <w:t xml:space="preserve">   origin IPs automatically; the "Origin IP Discovery" card switches from a</w:t>
      </w:r>
    </w:p>
    <w:p>
      <w:r>
        <w:t xml:space="preserve">   count-only hint to listing the verified origins.</w:t>
      </w:r>
    </w:p>
    <w:p>
      <w:r>
        <w:t xml:space="preserve">Budget note: keep per-IP vulnerability data on the </w:t>
      </w:r>
      <w:r>
        <w:rPr>
          <w:b/>
        </w:rPr>
        <w:t>free InternetDB</w:t>
      </w:r>
      <w:r>
        <w:t xml:space="preserve"> path</w:t>
      </w:r>
    </w:p>
    <w:p>
      <w:r>
        <w:t>(current default) so Shodan credits are spent only on the ~1-credit-per-scan</w:t>
      </w:r>
    </w:p>
    <w:p>
      <w:r>
        <w:t xml:space="preserve">cert-search. Moving </w:t>
      </w:r>
      <w:r>
        <w:rPr>
          <w:rFonts w:ascii="Consolas" w:hAnsi="Consolas"/>
          <w:sz w:val="18"/>
        </w:rPr>
        <w:t>/shodan/host/{ip}</w:t>
      </w:r>
      <w:r>
        <w:t xml:space="preserve"> per-IP lookups onto the paid API is</w:t>
      </w:r>
    </w:p>
    <w:p>
      <w:r>
        <w:t>the larger credit consumer (~1 credit per discovered IP per scan) and is a</w:t>
      </w:r>
    </w:p>
    <w:p>
      <w:r>
        <w:t>separate decision.</w:t>
      </w:r>
    </w:p>
    <w:p>
      <w:pPr>
        <w:spacing w:before="200" w:after="40"/>
      </w:pPr>
      <w:r>
        <w:rPr>
          <w:b/>
          <w:color w:val="0F2744"/>
          <w:sz w:val="22"/>
        </w:rPr>
        <w:t>IntelX (free tier) — current state + Wednesday testing</w:t>
      </w:r>
    </w:p>
    <w:p>
      <w:r>
        <w:t xml:space="preserve">Confirmed 2026-05-29: the configured IntelX key </w:t>
      </w:r>
      <w:r>
        <w:rPr>
          <w:b/>
        </w:rPr>
        <w:t>works</w:t>
      </w:r>
      <w:r>
        <w:t xml:space="preserve"> (the "trial expired"</w:t>
      </w:r>
    </w:p>
    <w:p>
      <w:r>
        <w:t xml:space="preserve">note was stale). </w:t>
      </w:r>
      <w:r>
        <w:rPr>
          <w:b/>
        </w:rPr>
        <w:t>Verified 2026-05-31 via `/authenticate/info` + IntelX docs:</w:t>
      </w:r>
    </w:p>
    <w:p>
      <w:r>
        <w:t xml:space="preserve">the free tier's </w:t>
      </w:r>
      <w:r>
        <w:rPr>
          <w:rFonts w:ascii="Consolas" w:hAnsi="Consolas"/>
          <w:sz w:val="18"/>
        </w:rPr>
        <w:t>/intelligent/search</w:t>
      </w:r>
      <w:r>
        <w:t xml:space="preserve"> cap is **</w:t>
      </w:r>
      <w:r>
        <w:rPr>
          <w:rFonts w:ascii="Consolas" w:hAnsi="Consolas"/>
          <w:sz w:val="18"/>
        </w:rPr>
        <w:t>CreditMax = 50</w:t>
      </w:r>
      <w:r>
        <w:t xml:space="preserve"> per DAY, reset</w:t>
      </w:r>
    </w:p>
    <w:p>
      <w:r>
        <w:t>at midnight UTC** (NOT ~500 — that was a wrong code comment), 1 credit/scan,</w:t>
      </w:r>
    </w:p>
    <w:p>
      <w:r>
        <w:rPr>
          <w:b/>
        </w:rPr>
        <w:t>max 3 concurrent searches</w:t>
      </w:r>
      <w:r>
        <w:t>.</w:t>
      </w:r>
    </w:p>
    <w:p>
      <w:r>
        <w:t xml:space="preserve">Planning implication: the cohort runs at </w:t>
      </w:r>
      <w:r>
        <w:rPr>
          <w:b/>
        </w:rPr>
        <w:t>~25-30 scans/day</w:t>
      </w:r>
      <w:r>
        <w:t xml:space="preserve"> (§3), which fits</w:t>
      </w:r>
    </w:p>
    <w:p>
      <w:r>
        <w:rPr>
          <w:i/>
        </w:rPr>
        <w:t>under</w:t>
      </w:r>
      <w:r>
        <w:t xml:space="preserve"> 50/day with modest headroom — so the free daily tier is **borderline-</w:t>
      </w:r>
    </w:p>
    <w:p>
      <w:r>
        <w:t>viable for the steady cohort rate**, NOT "10× too small" as first thought.</w:t>
      </w:r>
    </w:p>
    <w:p>
      <w:r>
        <w:t>BUT: zero burst headroom, the 3-concurrent cap throttles throughput, and any</w:t>
      </w:r>
    </w:p>
    <w:p>
      <w:r>
        <w:t>broker ad-hoc scans eat into the same 50. So a **paid replacement</w:t>
      </w:r>
    </w:p>
    <w:p>
      <w:r>
        <w:t>(Snusbase / LeakCheck Pro / SpyCloud) is still recommended** for safety +</w:t>
      </w:r>
    </w:p>
    <w:p>
      <w:r>
        <w:t>throughput + always-on use, but it is no longer an emergency blocker. Avoid</w:t>
      </w:r>
    </w:p>
    <w:p>
      <w:r>
        <w:t>burning credits on test scans (</w:t>
      </w:r>
      <w:r>
        <w:rPr>
          <w:rFonts w:ascii="Consolas" w:hAnsi="Consolas"/>
          <w:sz w:val="18"/>
        </w:rPr>
        <w:t>skip_intelx:true</w:t>
      </w:r>
      <w:r>
        <w:t>; the smoke test is already</w:t>
      </w:r>
    </w:p>
    <w:p>
      <w:r>
        <w:t>credit-free).</w:t>
      </w:r>
    </w:p>
    <w:p>
      <w:pPr>
        <w:pStyle w:val="ListBullet"/>
      </w:pPr>
      <w:r>
        <w:rPr>
          <w:b/>
        </w:rPr>
        <w:t>DONE (2026-06-01):</w:t>
      </w:r>
      <w:r>
        <w:t xml:space="preserve"> </w:t>
      </w:r>
      <w:r>
        <w:rPr>
          <w:rFonts w:ascii="Consolas" w:hAnsi="Consolas"/>
          <w:sz w:val="18"/>
        </w:rPr>
        <w:t>INTELX_API_KEY</w:t>
      </w:r>
      <w:r>
        <w:t xml:space="preserve"> (and </w:t>
      </w:r>
      <w:r>
        <w:rPr>
          <w:rFonts w:ascii="Consolas" w:hAnsi="Consolas"/>
          <w:sz w:val="18"/>
        </w:rPr>
        <w:t>SHODAN_API_KEY</w:t>
      </w:r>
      <w:r>
        <w:t>) are set on</w:t>
      </w:r>
    </w:p>
    <w:p>
      <w:r>
        <w:t xml:space="preserve">  Render — prod now carries the IntelX/forum signal. The *paid-tier upgrade</w:t>
      </w:r>
    </w:p>
    <w:p>
      <w:r>
        <w:t xml:space="preserve">  decision* (Shodan Freelancer, IntelX replacement) remains open above.</w:t>
      </w:r>
    </w:p>
    <w:p>
      <w:pPr>
        <w:pStyle w:val="ListBullet"/>
      </w:pPr>
      <w:r>
        <w:rPr>
          <w:b/>
        </w:rPr>
        <w:t>Still seek a sustainable replacement</w:t>
      </w:r>
      <w:r>
        <w:t xml:space="preserve"> (Snusbase / LeakCheck Pro /</w:t>
      </w:r>
    </w:p>
    <w:p>
      <w:r>
        <w:t xml:space="preserve">  SpyCloud) for the cohort-scale + always-on case; the free tier can remain a</w:t>
      </w:r>
    </w:p>
    <w:p>
      <w:r>
        <w:t xml:space="preserve">  fallback for ad-hoc use. The credential-correlation circulation slot is</w:t>
      </w:r>
    </w:p>
    <w:p>
      <w:r>
        <w:t xml:space="preserve">  provider-agnostic, so swapping is a checker change, not a correlation rewrite.</w:t>
      </w:r>
    </w:p>
    <w:p>
      <w:pPr>
        <w:spacing w:before="280" w:after="80"/>
      </w:pPr>
      <w:r>
        <w:rPr>
          <w:b/>
          <w:color w:val="0F2744"/>
          <w:sz w:val="28"/>
        </w:rPr>
        <w:t>3. Peer benchmarking rollout (SCN-028)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Start date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tag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public reference seed pool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</w:t>
            </w:r>
            <w:r>
              <w:rPr>
                <w:sz w:val="19"/>
              </w:rPr>
              <w:t xml:space="preserve"> (bi-weekly via </w:t>
            </w:r>
            <w:r>
              <w:rPr>
                <w:rFonts w:ascii="Consolas" w:hAnsi="Consolas"/>
                <w:sz w:val="19"/>
              </w:rPr>
              <w:t>tooling/benchmark_runner.py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2026-05-16 onwards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benchmark_pool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lower-tier-upsell cohort (~4,000 clients)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 July 2026 → ~Feb 2027 (6-9 months at ~25-30/day)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lower_tier_upsell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broker opt-in via scan form checkbox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When opt-in plumbing is added; no fixed 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client_optin</w:t>
            </w:r>
          </w:p>
        </w:tc>
      </w:tr>
    </w:tbl>
    <w:p/>
    <w:p>
      <w:r>
        <w:rPr>
          <w:b/>
        </w:rPr>
        <w:t>Phase 2 prerequisites</w:t>
      </w:r>
      <w:r>
        <w:t xml:space="preserve"> (must complete before 1 July):</w:t>
      </w:r>
    </w:p>
    <w:p>
      <w:pPr>
        <w:pStyle w:val="ListBullet"/>
      </w:pPr>
      <w:r>
        <w:t>[ ] Export 4,000-client list to CSV (</w:t>
      </w:r>
      <w:r>
        <w:rPr>
          <w:rFonts w:ascii="Consolas" w:hAnsi="Consolas"/>
          <w:sz w:val="18"/>
        </w:rPr>
        <w:t>domain, industry, sub_industry, annual_revenue_zar</w:t>
      </w:r>
      <w:r>
        <w:t xml:space="preserve"> columns)</w:t>
      </w:r>
    </w:p>
    <w:p>
      <w:pPr>
        <w:pStyle w:val="ListBullet"/>
      </w:pPr>
      <w:r>
        <w:t>[ ] API tier upgrades (see section 2)</w:t>
      </w:r>
    </w:p>
    <w:p>
      <w:pPr>
        <w:pStyle w:val="ListBullet"/>
      </w:pPr>
      <w:r>
        <w:t xml:space="preserve">[ ] Daily cron / Render scheduled job invoking </w:t>
      </w:r>
      <w:r>
        <w:rPr>
          <w:rFonts w:ascii="Consolas" w:hAnsi="Consolas"/>
          <w:sz w:val="18"/>
        </w:rPr>
        <w:t>py -3 tooling/benchmark_runner.py --source lower_tier_upsell --input-csv ... --limit 25</w:t>
      </w:r>
    </w:p>
    <w:p>
      <w:pPr>
        <w:pStyle w:val="ListBullet"/>
      </w:pPr>
      <w:r>
        <w:t>[ ] Phase 2 upsell workflow definition (how to deliver PDFs to brokers / clients)</w:t>
      </w:r>
    </w:p>
    <w:p>
      <w:pPr>
        <w:spacing w:before="280" w:after="80"/>
      </w:pPr>
      <w:r>
        <w:rPr>
          <w:b/>
          <w:color w:val="0F2744"/>
          <w:sz w:val="28"/>
        </w:rPr>
        <w:t>4. Deferred-to-continuous-monitoring track (SCN-026)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Probe-cache SQLite-backed implementation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Interface defined in </w:t>
            </w:r>
            <w:r>
              <w:rPr>
                <w:rFonts w:ascii="Consolas" w:hAnsi="Consolas"/>
                <w:sz w:val="19"/>
              </w:rPr>
              <w:t>http_client.ProbeCache</w:t>
            </w:r>
            <w:r>
              <w:rPr>
                <w:sz w:val="19"/>
              </w:rPr>
              <w:t xml:space="preserve">; default </w:t>
            </w:r>
            <w:r>
              <w:rPr>
                <w:rFonts w:ascii="Consolas" w:hAnsi="Consolas"/>
                <w:sz w:val="19"/>
              </w:rPr>
              <w:t>_NullProbeCache</w:t>
            </w:r>
            <w:r>
              <w:rPr>
                <w:sz w:val="19"/>
              </w:rPr>
              <w:t xml:space="preserve"> no-op. Real implementation lands with continuous-monitoring scheduler.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Continuous-monitoring scheduler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Open. Estimated 3-4 week build. Requires probe cache + per-tenant scheduling + delta-finding detection + alert-on-change pipeline.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5. Open accuracy items (gap analysis roadmap)</w:t>
      </w:r>
    </w:p>
    <w:p>
      <w:r>
        <w:t>Carried over from v9 / v10 gap analyses. Not blocking but worth flagging: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CMS admin path detection (dynamic from tech stack)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CDN origin IP leakage / origin discovery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implemented (`origin_discovery.py`, 2026-05-29):</w:t>
            </w:r>
            <w:r>
              <w:rPr>
                <w:sz w:val="19"/>
              </w:rPr>
              <w:t xml:space="preserve"> SecurityTrails historical-DNS candidates + TLS cert-match verification live; verified origins scanned, candidates surfaced. Free Shodan cert-host count hint live. </w:t>
            </w:r>
            <w:r>
              <w:rPr>
                <w:b/>
                <w:sz w:val="19"/>
              </w:rPr>
              <w:t>Full Shodan cert-search IP retrieval pending paid key (see §2 go-live).</w:t>
            </w:r>
            <w:r>
              <w:rPr>
                <w:sz w:val="19"/>
              </w:rPr>
              <w:t xml:space="preserve"> Also: RDP exposure now reconciled across all discovered IPs, not just the apex (was a false-negative on CDN-fronted targets).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MFA presence on VPN login pages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4c-ii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Infrastructure-infection / C2-beaconing signal</w:t>
            </w:r>
            <w:r>
              <w:rPr>
                <w:sz w:val="19"/>
              </w:rPr>
              <w:t xml:space="preserve"> (reinsurer "Infrastructure Infections — Malicious Connection Attempt" card). Distinct from credential/infostealer: it flags </w:t>
            </w:r>
            <w:r>
              <w:rPr>
                <w:i/>
                <w:sz w:val="19"/>
              </w:rPr>
              <w:t>org servers/hosts</w:t>
            </w:r>
            <w:r>
              <w:rPr>
                <w:sz w:val="19"/>
              </w:rPr>
              <w:t xml:space="preserve"> observed connecting to malicious infra. We partially cover via DNSBL (reputation/blacklist), but lack infection-type + days-observed granularity. Would need a threat-intel feed (Spamhaus CSS/XBL, GreyNoise, abuse.ch Feodo). </w:t>
            </w:r>
            <w:r>
              <w:rPr>
                <w:b/>
                <w:sz w:val="19"/>
              </w:rPr>
              <w:t>Attribution caveat:</w:t>
            </w:r>
            <w:r>
              <w:rPr>
                <w:sz w:val="19"/>
              </w:rPr>
              <w:t xml:space="preserve"> the reinsurer's example IP </w:t>
            </w:r>
            <w:r>
              <w:rPr>
                <w:rFonts w:ascii="Consolas" w:hAnsi="Consolas"/>
                <w:sz w:val="19"/>
              </w:rPr>
              <w:t>152.111.191.48</w:t>
            </w:r>
            <w:r>
              <w:rPr>
                <w:sz w:val="19"/>
              </w:rPr>
              <w:t xml:space="preserve"> reverse-resolves to </w:t>
            </w:r>
            <w:r>
              <w:rPr>
                <w:rFonts w:ascii="Consolas" w:hAnsi="Consolas"/>
                <w:sz w:val="19"/>
              </w:rPr>
              <w:t>download.kalahari.com</w:t>
            </w:r>
            <w:r>
              <w:rPr>
                <w:sz w:val="19"/>
              </w:rPr>
              <w:t xml:space="preserve"> (Kalahari merged into Takealot 2014) — a legacy/related-brand IP not in takealot.com's scope, so it would only surface via related-domain (S-1) discovery + cert-verification. Same reassigned-IP risk as the RDP/origin case.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WAF rate limiting / bot protection detection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4f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DNSSEC validation chain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Window narrative enhancement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5a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Bug bounty programme detection (HackerOne / Bugcrowd)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retire.js CVE cross-reference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5i-T1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1 (externally observable)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Glasswing done; rest 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5i-T2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2 (self-reported)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5k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Fresh-dump content-fetch (credit-gated tier)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done 2026-06-02:</w:t>
            </w:r>
            <w:r>
              <w:rPr>
                <w:sz w:val="19"/>
              </w:rPr>
              <w:t xml:space="preserve"> the encrypted export now includes IntelX stealer-log postings as date-ordered </w:t>
            </w:r>
            <w:r>
              <w:rPr>
                <w:rFonts w:ascii="Consolas" w:hAnsi="Consolas"/>
                <w:sz w:val="19"/>
              </w:rPr>
              <w:t>leak_reference</w:t>
            </w:r>
            <w:r>
              <w:rPr>
                <w:sz w:val="19"/>
              </w:rPr>
              <w:t xml:space="preserve"> rows with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label (</w:t>
            </w:r>
            <w:r>
              <w:rPr>
                <w:rFonts w:ascii="Consolas" w:hAnsi="Consolas"/>
                <w:sz w:val="19"/>
              </w:rPr>
              <w:t>credential_export.py</w:t>
            </w:r>
            <w:r>
              <w:rPr>
                <w:sz w:val="19"/>
              </w:rPr>
              <w:t xml:space="preserve">; Manual §6.4). </w:t>
            </w:r>
            <w:r>
              <w:rPr>
                <w:b/>
                <w:sz w:val="19"/>
              </w:rPr>
              <w:t>Still open:</w:t>
            </w:r>
            <w:r>
              <w:rPr>
                <w:sz w:val="19"/>
              </w:rPr>
              <w:t xml:space="preserve"> the </w:t>
            </w:r>
            <w:r>
              <w:rPr>
                <w:b/>
                <w:sz w:val="19"/>
              </w:rPr>
              <w:t>content-fetch tier</w:t>
            </w:r>
            <w:r>
              <w:rPr>
                <w:sz w:val="19"/>
              </w:rPr>
              <w:t xml:space="preserve"> — on explicit client request, pull the named dump BODY (IntelX selector/view, costs credits) to confirm whether a real credential was exposed vs just a </w:t>
            </w:r>
            <w:r>
              <w:rPr>
                <w:rFonts w:ascii="Consolas" w:hAnsi="Consolas"/>
                <w:sz w:val="19"/>
              </w:rPr>
              <w:t>History/</w:t>
            </w:r>
            <w:r>
              <w:rPr>
                <w:sz w:val="19"/>
              </w:rPr>
              <w:t xml:space="preserve"> visit. The free listing classifies by path but cannot read the contents.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Confidence-gate the p(breach) / RSI input (scoring decision — NOT done)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Open,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(scoring-change rule). The export/dashboard now expose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model, but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does not yet use it: a recent LOW-confidence reference (aggregated index, browser-History visit) can still pull credential signals the same as a HIGH-confidence password capture. Decision to make: gate any p(breach)/RSI uplift on HIGH-confidence (or content-fetch-confirmed) evidence, so low-confidence freshness alone does not inflate the probability. Builds on the §6 "Credential-risk scoring calibration" ticket. </w:t>
            </w:r>
            <w:r>
              <w:rPr>
                <w:b/>
                <w:sz w:val="19"/>
              </w:rPr>
              <w:t>Cat model is unaffected — this is purely the p(breach) input.</w:t>
            </w:r>
            <w:r>
              <w:rPr>
                <w:sz w:val="19"/>
              </w:rPr>
              <w:t xml:space="preserve"> Until decided, the disclaimer + content-fetch prompt (5k) is the interim control. </w:t>
            </w:r>
            <w:r>
              <w:rPr>
                <w:b/>
                <w:sz w:val="19"/>
              </w:rPr>
              <w:t>Design pre-read for the 2026-06-03 FIN-9 calibration session: `docs/credential_confidence_pbreach_design.md`</w:t>
            </w:r>
            <w:r>
              <w:rPr>
                <w:sz w:val="19"/>
              </w:rPr>
              <w:t xml:space="preserve"> (current wiring, the model, the K1-K7 calibration knobs, and the empirical anchors that set them).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6. Architectural follow-ups (low priority)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Refactor remaining checkers through </w:t>
            </w:r>
            <w:r>
              <w:rPr>
                <w:rFonts w:ascii="Consolas" w:hAnsi="Consolas"/>
                <w:sz w:val="19"/>
              </w:rPr>
              <w:t>HTTP</w:t>
            </w:r>
            <w:r>
              <w:rPr>
                <w:sz w:val="19"/>
              </w:rPr>
              <w:t xml:space="preserve"> singleton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privacy_compliance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info_disclosure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exposed_admin</w:t>
            </w:r>
            <w:r>
              <w:rPr>
                <w:sz w:val="19"/>
              </w:rPr>
              <w:t xml:space="preserve"> done. </w:t>
            </w:r>
            <w:r>
              <w:rPr>
                <w:rFonts w:ascii="Consolas" w:hAnsi="Consolas"/>
                <w:sz w:val="19"/>
              </w:rPr>
              <w:t>payment_security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vpn_remote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security_policy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fraudulent_domains</w:t>
            </w:r>
            <w:r>
              <w:rPr>
                <w:sz w:val="19"/>
              </w:rPr>
              <w:t xml:space="preserve">, and single-request checkers (SSL, WAF, etc.) still use direct </w:t>
            </w:r>
            <w:r>
              <w:rPr>
                <w:rFonts w:ascii="Consolas" w:hAnsi="Consolas"/>
                <w:sz w:val="19"/>
              </w:rPr>
              <w:t>requests.get</w:t>
            </w:r>
            <w:r>
              <w:rPr>
                <w:sz w:val="19"/>
              </w:rPr>
              <w:t>. WAF tracker only sees burst probers; widening this gives full WAF visibility. ~3 hrs work, low risk.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Enforcement-discount % calibration per regulator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Statutory maxima used everywhere in cat stack. Expected-loss view uses heuristic. Compliance officer should set per-regulator discount %.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Civil exposure quantification (POPIA s99 / common-law delict)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Currently qualitative disclosure only. Quantification requires internal-contract data.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Tail recalibration with empirical SA cat data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5× PERT upper bound on </w:t>
            </w:r>
            <w:r>
              <w:rPr>
                <w:rFonts w:ascii="Consolas" w:hAnsi="Consolas"/>
                <w:sz w:val="19"/>
              </w:rPr>
              <w:t>mc_total_breach</w:t>
            </w:r>
            <w:r>
              <w:rPr>
                <w:sz w:val="19"/>
              </w:rPr>
              <w:t xml:space="preserve"> is conservative. Calibrate against SABRIC + CISA + IBM SA-specific incident-type data when available.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WAF coverage-loading constant calibration (SCN-029)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K_TAIL=1.20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_calculate_zar</w:t>
            </w:r>
            <w:r>
              <w:rPr>
                <w:sz w:val="19"/>
              </w:rPr>
              <w:t xml:space="preserve"> sets how aggressively the catastrophe tail widens per unit of lost scan coverage. Heuristic — calibrate against rescan deltas (blinded scan vs allow-listed rescan of the same target) once continuous monitoring provides paired observations. Only the ZAR path is loaded; the dead USD path is not.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Bias correction on </w:t>
            </w:r>
            <w:r>
              <w:rPr>
                <w:rFonts w:ascii="Consolas" w:hAnsi="Consolas"/>
                <w:sz w:val="19"/>
              </w:rPr>
              <w:t>lower_tier_upsell</w:t>
            </w:r>
            <w:r>
              <w:rPr>
                <w:sz w:val="19"/>
              </w:rPr>
              <w:t xml:space="preserve"> benchmark cohort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Cohort may not be SA median; pool composition disclosed in report. Future: source-class weighting in percentile calculation.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GPD tail fit MLE upgrade (currently method-of-moments + pure numpy)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scipy.stats.genpareto provides MLE fit but adds dependency. Defer until scipy is acceptable on Render.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Credential-risk scoring calibration</w:t>
            </w:r>
            <w:r>
              <w:rPr>
                <w:sz w:val="19"/>
              </w:rPr>
              <w:t xml:space="preserve"> (ticket, NOT done)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Two tweaks to </w:t>
            </w:r>
            <w:r>
              <w:rPr>
                <w:rFonts w:ascii="Consolas" w:hAnsi="Consolas"/>
                <w:sz w:val="19"/>
              </w:rPr>
              <w:t>CredentialRiskClassifier</w:t>
            </w:r>
            <w:r>
              <w:rPr>
                <w:sz w:val="19"/>
              </w:rPr>
              <w:t xml:space="preserve">, both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(empirical anchors + sign-off, per the scoring-change rule): (1) the IntelX paste/dark-web deductions are </w:t>
            </w:r>
            <w:r>
              <w:rPr>
                <w:b/>
                <w:sz w:val="19"/>
              </w:rPr>
              <w:t>per-mention and uncapped</w:t>
            </w:r>
            <w:r>
              <w:rPr>
                <w:sz w:val="19"/>
              </w:rPr>
              <w:t xml:space="preserve"> (40 pastes → −120, floored at 0) — can out-deduct Hudson Rock's flat −50 in the raw 0-100 score even though HR sets the higher </w:t>
            </w:r>
            <w:r>
              <w:rPr>
                <w:i/>
                <w:sz w:val="19"/>
              </w:rPr>
              <w:t>level</w:t>
            </w:r>
            <w:r>
              <w:rPr>
                <w:sz w:val="19"/>
              </w:rPr>
              <w:t xml:space="preserve">; add a cap. (2) </w:t>
            </w:r>
            <w:r>
              <w:rPr>
                <w:b/>
                <w:sz w:val="19"/>
              </w:rPr>
              <w:t>Date-gate the HR CRITICAL</w:t>
            </w:r>
            <w:r>
              <w:rPr>
                <w:sz w:val="19"/>
              </w:rPr>
              <w:t xml:space="preserve"> so a </w:t>
            </w:r>
            <w:r>
              <w:rPr>
                <w:i/>
                <w:sz w:val="19"/>
              </w:rPr>
              <w:t>stale</w:t>
            </w:r>
            <w:r>
              <w:rPr>
                <w:sz w:val="19"/>
              </w:rPr>
              <w:t xml:space="preserve"> infostealer infection (old </w:t>
            </w:r>
            <w:r>
              <w:rPr>
                <w:rFonts w:ascii="Consolas" w:hAnsi="Consolas"/>
                <w:sz w:val="19"/>
              </w:rPr>
              <w:t>last_compromised</w:t>
            </w:r>
            <w:r>
              <w:rPr>
                <w:sz w:val="19"/>
              </w:rPr>
              <w:t xml:space="preserve">) doesn't auto-force CRITICAL — use the new </w:t>
            </w:r>
            <w:r>
              <w:rPr>
                <w:rFonts w:ascii="Consolas" w:hAnsi="Consolas"/>
                <w:sz w:val="19"/>
              </w:rPr>
              <w:t>days_since_compromise</w:t>
            </w:r>
            <w:r>
              <w:rPr>
                <w:sz w:val="19"/>
              </w:rPr>
              <w:t xml:space="preserve">. The Credential Exposure Correlation (reporting) already does this date-anchoring; this would align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with it.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6b. FIN-9 calibration inputs — financial-loss impact of the 2026-06-03 accuracy waves</w:t>
      </w:r>
    </w:p>
    <w:p>
      <w:r>
        <w:t xml:space="preserve">&gt; </w:t>
      </w:r>
      <w:r>
        <w:rPr>
          <w:b/>
        </w:rPr>
        <w:t>STATUS (2026-06-11):</w:t>
      </w:r>
      <w:r>
        <w:t xml:space="preserve"> the 2026-06-03/04 session RETIRED the FIN-9 Pareto</w:t>
      </w:r>
    </w:p>
    <w:p>
      <w:r>
        <w:t>&gt; widening; the #14 records-driven cat redesign was wired instead (see</w:t>
      </w:r>
    </w:p>
    <w:p>
      <w:r>
        <w:t xml:space="preserve">&gt; </w:t>
      </w:r>
      <w:r>
        <w:rPr>
          <w:rFonts w:ascii="Consolas" w:hAnsi="Consolas"/>
          <w:sz w:val="18"/>
        </w:rPr>
        <w:t>calibration_prep/07_WIRING_SPEC_AND_HANDOFF.md</w:t>
      </w:r>
      <w:r>
        <w:t xml:space="preserve"> §7 and the FIN-9 memory</w:t>
      </w:r>
    </w:p>
    <w:p>
      <w:r>
        <w:t xml:space="preserve">&gt; memo). The dead-USD </w:t>
      </w:r>
      <w:r>
        <w:rPr>
          <w:rFonts w:ascii="Consolas" w:hAnsi="Consolas"/>
          <w:sz w:val="18"/>
        </w:rPr>
        <w:t>COST_PER_RECORD</w:t>
      </w:r>
      <w:r>
        <w:t xml:space="preserve"> / </w:t>
      </w:r>
      <w:r>
        <w:rPr>
          <w:rFonts w:ascii="Consolas" w:hAnsi="Consolas"/>
          <w:sz w:val="18"/>
        </w:rPr>
        <w:t>REGULATORY_FINE</w:t>
      </w:r>
      <w:r>
        <w:t xml:space="preserve"> tables listed</w:t>
      </w:r>
    </w:p>
    <w:p>
      <w:r>
        <w:t xml:space="preserve">&gt; below have since been </w:t>
      </w:r>
      <w:r>
        <w:rPr>
          <w:b/>
        </w:rPr>
        <w:t>deleted</w:t>
      </w:r>
      <w:r>
        <w:t xml:space="preserve"> from </w:t>
      </w:r>
      <w:r>
        <w:rPr>
          <w:rFonts w:ascii="Consolas" w:hAnsi="Consolas"/>
          <w:sz w:val="18"/>
        </w:rPr>
        <w:t>scoring_analytics.py</w:t>
      </w:r>
      <w:r>
        <w:t>. Still</w:t>
      </w:r>
    </w:p>
    <w:p>
      <w:r>
        <w:t xml:space="preserve">&gt; genuinely open from this table: the </w:t>
      </w:r>
      <w:r>
        <w:rPr>
          <w:rFonts w:ascii="Consolas" w:hAnsi="Consolas"/>
          <w:sz w:val="18"/>
        </w:rPr>
        <w:t>p_breach</w:t>
      </w:r>
      <w:r>
        <w:t xml:space="preserve"> base/curve sign-off, risk-band</w:t>
      </w:r>
    </w:p>
    <w:p>
      <w:r>
        <w:t>&gt; re-fit (200/400/600), TEF multipliers, K_TAIL, HIBP step thresholds,</w:t>
      </w:r>
    </w:p>
    <w:p>
      <w:r>
        <w:t>&gt; remediation caps — all colleague-gated.</w:t>
      </w:r>
    </w:p>
    <w:p>
      <w:r>
        <w:rPr>
          <w:b/>
        </w:rPr>
        <w:t>Why this matters for the FIN-9 session.</w:t>
      </w:r>
      <w:r>
        <w:t xml:space="preserve"> Wave 1 wired </w:t>
      </w:r>
      <w:r>
        <w:rPr>
          <w:rFonts w:ascii="Consolas" w:hAnsi="Consolas"/>
          <w:sz w:val="18"/>
        </w:rPr>
        <w:t>cat_results["_overall_score"]</w:t>
      </w:r>
    </w:p>
    <w:p>
      <w:r>
        <w:t xml:space="preserve">into the FinancialImpactCalculator for the FIRST time in production — </w:t>
      </w:r>
      <w:r>
        <w:rPr>
          <w:rFonts w:ascii="Consolas" w:hAnsi="Consolas"/>
          <w:sz w:val="18"/>
        </w:rPr>
        <w:t>vulnerability</w:t>
      </w:r>
    </w:p>
    <w:p>
      <w:r>
        <w:t>now couples to the real posture score (was permanently pinned at 0.5). Combined with</w:t>
      </w:r>
    </w:p>
    <w:p>
      <w:r>
        <w:t>the de-inflation from the other waves (SSL no longer auto-"Invalid" −40, DNSBL no longer</w:t>
      </w:r>
    </w:p>
    <w:p>
      <w:r>
        <w:t>auto-"blacklisted", Exposed-Admin 403-inversion gone, phantom F5-WAF and fabricated</w:t>
      </w:r>
    </w:p>
    <w:p>
      <w:r>
        <w:t>CVE ASN/geo removed, HTTP-headers no longer false-penalised off a 403 block page), the</w:t>
      </w:r>
    </w:p>
    <w:p>
      <w:r>
        <w:t xml:space="preserve">financial-loss </w:t>
      </w:r>
      <w:r>
        <w:rPr>
          <w:b/>
        </w:rPr>
        <w:t>inputs changed materially</w:t>
      </w:r>
      <w:r>
        <w:t>. Worked example: a fixed-code production</w:t>
      </w:r>
    </w:p>
    <w:p>
      <w:r>
        <w:t xml:space="preserve">scan of phishield.com now scores </w:t>
      </w:r>
      <w:r>
        <w:rPr>
          <w:b/>
        </w:rPr>
        <w:t>169 (Low)</w:t>
      </w:r>
      <w:r>
        <w:t xml:space="preserve"> vs </w:t>
      </w:r>
      <w:r>
        <w:rPr>
          <w:b/>
        </w:rPr>
        <w:t>381 (Medium)</w:t>
      </w:r>
      <w:r>
        <w:t xml:space="preserve"> pre-fix, so its</w:t>
      </w:r>
    </w:p>
    <w:p>
      <w:r>
        <w:rPr>
          <w:rFonts w:ascii="Consolas" w:hAnsi="Consolas"/>
          <w:sz w:val="18"/>
        </w:rPr>
        <w:t>p_breach</w:t>
      </w:r>
      <w:r>
        <w:t>, expected loss and every Monte-Carlo return-period tail shift accordingly.</w:t>
      </w:r>
    </w:p>
    <w:p>
      <w:r>
        <w:rPr>
          <w:b/>
        </w:rPr>
        <w:t>Consequence:</w:t>
      </w:r>
      <w:r>
        <w:t xml:space="preserve"> the FIN-9 Pareto widening (and the 5L credential-confidence work) must</w:t>
      </w:r>
    </w:p>
    <w:p>
      <w:r>
        <w:t xml:space="preserve">anchor to the </w:t>
      </w:r>
      <w:r>
        <w:rPr>
          <w:b/>
        </w:rPr>
        <w:t>corrected post-fix loss baseline</w:t>
      </w:r>
      <w:r>
        <w:t>, not the old inflated one. The</w:t>
      </w:r>
    </w:p>
    <w:p>
      <w:r>
        <w:t xml:space="preserve">downstream financial constants below were never empirically validated against </w:t>
      </w:r>
      <w:r>
        <w:rPr>
          <w:i/>
        </w:rPr>
        <w:t>working</w:t>
      </w:r>
    </w:p>
    <w:p>
      <w:r>
        <w:t>coupling (the coupling was broken until Wave 1), so they now genuinely need calibration.</w:t>
      </w:r>
    </w:p>
    <w:p>
      <w:r>
        <w:rPr>
          <w:b/>
        </w:rPr>
        <w:t>Parameters to calibrate (anchor to DBIR / Mandiant M-Trends / IBM CoDB / Sophos SA + colleague judgement):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Why it now needs calibration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vulnerability</w:t>
            </w:r>
            <w:r>
              <w:rPr>
                <w:sz w:val="19"/>
              </w:rPr>
              <w:t xml:space="preserve"> ← </w:t>
            </w:r>
            <w:r>
              <w:rPr>
                <w:rFonts w:ascii="Consolas" w:hAnsi="Consolas"/>
                <w:sz w:val="19"/>
              </w:rPr>
              <w:t>_overall_score</w:t>
            </w:r>
            <w:r>
              <w:rPr>
                <w:sz w:val="19"/>
              </w:rPr>
              <w:t xml:space="preserve"> mapping, and the </w:t>
            </w:r>
            <w:r>
              <w:rPr>
                <w:rFonts w:ascii="Consolas" w:hAnsi="Consolas"/>
                <w:sz w:val="19"/>
              </w:rPr>
              <w:t>0.3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p_breach = vulnerability × TEF × 0.3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  <w:r>
              <w:rPr>
                <w:sz w:val="19"/>
              </w:rPr>
              <w:t xml:space="preserve"> (~L2099)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coupling is live for the first time; neither the curve nor the </w:t>
            </w:r>
            <w:r>
              <w:rPr>
                <w:rFonts w:ascii="Consolas" w:hAnsi="Consolas"/>
                <w:sz w:val="19"/>
              </w:rPr>
              <w:t>0.3</w:t>
            </w:r>
            <w:r>
              <w:rPr>
                <w:sz w:val="19"/>
              </w:rPr>
              <w:t xml:space="preserve"> was ever validated against real scores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credential → p(breach) contribution (replaces </w:t>
            </w:r>
            <w:r>
              <w:rPr>
                <w:rFonts w:ascii="Consolas" w:hAnsi="Consolas"/>
                <w:sz w:val="19"/>
              </w:rPr>
              <w:t>dehashed_total × 2</w:t>
            </w:r>
            <w:r>
              <w:rPr>
                <w:sz w:val="19"/>
              </w:rPr>
              <w:t>, ~L669)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5L / pre-read </w:t>
            </w:r>
            <w:r>
              <w:rPr>
                <w:b/>
                <w:sz w:val="19"/>
              </w:rPr>
              <w:t>K1–K7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the confidence-weighted credential class (</w:t>
            </w:r>
            <w:r>
              <w:rPr>
                <w:rFonts w:ascii="Consolas" w:hAnsi="Consolas"/>
                <w:sz w:val="19"/>
              </w:rPr>
              <w:t>docs/credential_confidence_pbreach_design.md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Pareto </w:t>
            </w:r>
            <w:r>
              <w:rPr>
                <w:b/>
                <w:sz w:val="19"/>
              </w:rPr>
              <w:t>alpha</w:t>
            </w:r>
            <w:r>
              <w:rPr>
                <w:sz w:val="19"/>
              </w:rPr>
              <w:t xml:space="preserve"> + LGB </w:t>
            </w:r>
            <w:r>
              <w:rPr>
                <w:b/>
                <w:sz w:val="19"/>
              </w:rPr>
              <w:t>mixture weight</w:t>
            </w:r>
            <w:r>
              <w:rPr>
                <w:sz w:val="19"/>
              </w:rPr>
              <w:t xml:space="preserve"> (FIN-9 core)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_calculate_zar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re-anchor to the corrected loss baseline + the MOVEit per-org curve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Remediation cap: </w:t>
            </w:r>
            <w:r>
              <w:rPr>
                <w:rFonts w:ascii="Consolas" w:hAnsi="Consolas"/>
                <w:sz w:val="19"/>
              </w:rPr>
              <w:t>MAX_RSI_REDUCTION_FRACTION=0.15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RSI_RESIDUAL_FLOOR=0.05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  <w:r>
              <w:rPr>
                <w:sz w:val="19"/>
              </w:rPr>
              <w:t xml:space="preserve"> (Wave 4)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set heuristically in Wave 4; the ~81% modelled loss-cut is now a calibration question, not a bug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TEF industry-targeting multipliers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how often each industry is targeted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HIBP scenario </w:t>
            </w:r>
            <w:r>
              <w:rPr>
                <w:rFonts w:ascii="Consolas" w:hAnsi="Consolas"/>
                <w:sz w:val="19"/>
              </w:rPr>
              <w:t>p_breach</w:t>
            </w:r>
            <w:r>
              <w:rPr>
                <w:sz w:val="19"/>
              </w:rPr>
              <w:t xml:space="preserve"> step thresholds (0.35 / 0.20 / 0.08)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scoring_analytics.py:1664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heuristic step function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COST_PER_RECORD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REGULATORY_FINE</w:t>
            </w:r>
            <w:r>
              <w:rPr>
                <w:sz w:val="19"/>
              </w:rPr>
              <w:t xml:space="preserve"> tables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per-industry SA values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 = 1.20</w:t>
            </w:r>
            <w:r>
              <w:rPr>
                <w:sz w:val="19"/>
              </w:rPr>
              <w:t xml:space="preserve"> (catastrophe tail widening)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_calculate_zar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heuristic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Risk-level bands </w:t>
            </w:r>
            <w:r>
              <w:rPr>
                <w:rFonts w:ascii="Consolas" w:hAnsi="Consolas"/>
                <w:sz w:val="19"/>
              </w:rPr>
              <w:t>200 / 400 / 600</w:t>
            </w:r>
            <w:r>
              <w:rPr>
                <w:sz w:val="19"/>
              </w:rPr>
              <w:t xml:space="preserve"> (Low/Med/High/Crit on the 0-1000 score)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scoring_analytics.py:806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even split, set against the OLD inflated distribution; de-inflation lowered scores (phishield 381-&gt;169) so they may now mis-bucket — re-fit to the corrected distribution + align to the calibrated p(breach) tiers</w:t>
            </w:r>
          </w:p>
        </w:tc>
      </w:tr>
    </w:tbl>
    <w:p/>
    <w:p>
      <w:r>
        <w:rPr>
          <w:b/>
        </w:rPr>
        <w:t>Pre-session action:</w:t>
      </w:r>
      <w:r>
        <w:t xml:space="preserve"> regenerate the reference loss curves on the FIXED code (a clean</w:t>
      </w:r>
    </w:p>
    <w:p>
      <w:r>
        <w:t>post-fix scan of takealot + 1–2 references) so the calibration anchors to the corrected</w:t>
      </w:r>
    </w:p>
    <w:p>
      <w:r>
        <w:t xml:space="preserve">baseline. </w:t>
      </w:r>
      <w:r>
        <w:rPr>
          <w:rFonts w:ascii="Consolas" w:hAnsi="Consolas"/>
          <w:sz w:val="18"/>
        </w:rPr>
        <w:t>verify_supply_chain_financial_wiring.py</w:t>
      </w:r>
      <w:r>
        <w:t xml:space="preserve"> confirms wiring but INJECTS scores —</w:t>
      </w:r>
    </w:p>
    <w:p>
      <w:r>
        <w:t>use a real fixed-code scan for the magnitudes. (A fixed-code phishield scan is already in</w:t>
      </w:r>
    </w:p>
    <w:p>
      <w:r>
        <w:rPr>
          <w:rFonts w:ascii="Consolas" w:hAnsi="Consolas"/>
          <w:sz w:val="18"/>
        </w:rPr>
        <w:t>test_fixtures/phishield_live.json</w:t>
      </w:r>
      <w:r>
        <w:t>.)</w:t>
      </w:r>
    </w:p>
    <w:p>
      <w:pPr>
        <w:spacing w:before="280" w:after="80"/>
      </w:pPr>
      <w:r>
        <w:rPr>
          <w:b/>
          <w:color w:val="0F2744"/>
          <w:sz w:val="28"/>
        </w:rPr>
        <w:t>7. Documentation / artifacts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Manual docx regeneration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 -3 generate_manual.py</w:t>
            </w:r>
            <w:r>
              <w:rPr>
                <w:sz w:val="19"/>
              </w:rPr>
              <w:t xml:space="preserve"> — now a </w:t>
            </w:r>
            <w:r>
              <w:rPr>
                <w:b/>
                <w:sz w:val="19"/>
              </w:rPr>
              <w:t>thin orchestrator</w:t>
            </w:r>
            <w:r>
              <w:rPr>
                <w:sz w:val="19"/>
              </w:rPr>
              <w:t xml:space="preserve"> that assembles </w:t>
            </w:r>
            <w:r>
              <w:rPr>
                <w:rFonts w:ascii="Consolas" w:hAnsi="Consolas"/>
                <w:sz w:val="19"/>
              </w:rPr>
              <w:t>manual_parts/part1-6</w:t>
            </w:r>
            <w:r>
              <w:rPr>
                <w:sz w:val="19"/>
              </w:rPr>
              <w:t xml:space="preserve"> (each </w:t>
            </w:r>
            <w:r>
              <w:rPr>
                <w:rFonts w:ascii="Consolas" w:hAnsi="Consolas"/>
                <w:sz w:val="19"/>
              </w:rPr>
              <w:t>build(doc)</w:t>
            </w:r>
            <w:r>
              <w:rPr>
                <w:sz w:val="19"/>
              </w:rPr>
              <w:t xml:space="preserve">); writes </w:t>
            </w:r>
            <w:r>
              <w:rPr>
                <w:rFonts w:ascii="Consolas" w:hAnsi="Consolas"/>
                <w:sz w:val="19"/>
              </w:rPr>
              <w:t>Phishield_Cyber_Risk_Scanner_User_Manual.docx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Edit content in `manual_parts/`</w:t>
            </w:r>
            <w:r>
              <w:rPr>
                <w:sz w:val="19"/>
              </w:rPr>
              <w:t xml:space="preserve"> (not the orchestrator). Helpers live in </w:t>
            </w:r>
            <w:r>
              <w:rPr>
                <w:rFonts w:ascii="Consolas" w:hAnsi="Consolas"/>
                <w:sz w:val="19"/>
              </w:rPr>
              <w:t>manual_parts/helpers.py</w:t>
            </w:r>
            <w:r>
              <w:rPr>
                <w:sz w:val="19"/>
              </w:rPr>
              <w:t xml:space="preserve"> (aliased by top-level </w:t>
            </w:r>
            <w:r>
              <w:rPr>
                <w:rFonts w:ascii="Consolas" w:hAnsi="Consolas"/>
                <w:sz w:val="19"/>
              </w:rPr>
              <w:t>manual_helpers.py</w:t>
            </w:r>
            <w:r>
              <w:rPr>
                <w:sz w:val="19"/>
              </w:rPr>
              <w:t xml:space="preserve">); part1 uses </w:t>
            </w:r>
            <w:r>
              <w:rPr>
                <w:rFonts w:ascii="Consolas" w:hAnsi="Consolas"/>
                <w:sz w:val="19"/>
              </w:rPr>
              <w:t>set_helpers()</w:t>
            </w:r>
            <w:r>
              <w:rPr>
                <w:sz w:val="19"/>
              </w:rPr>
              <w:t xml:space="preserve"> injection, parts 2-6 import directly. The pre-2026-05-18 monolith is retired but preserved in git history (commit before the cutover) if ever needed.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Gap Analysis v10 regeneration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Auto-regenerated via </w:t>
            </w:r>
            <w:r>
              <w:rPr>
                <w:rFonts w:ascii="Consolas" w:hAnsi="Consolas"/>
                <w:sz w:val="19"/>
              </w:rPr>
              <w:t>node generators/gen_gap_v10.cjs</w:t>
            </w:r>
            <w:r>
              <w:rPr>
                <w:sz w:val="19"/>
              </w:rPr>
              <w:t xml:space="preserve"> (or root </w:t>
            </w:r>
            <w:r>
              <w:rPr>
                <w:rFonts w:ascii="Consolas" w:hAnsi="Consolas"/>
                <w:sz w:val="19"/>
              </w:rPr>
              <w:t>gen_gap_v10.cjs</w:t>
            </w:r>
            <w:r>
              <w:rPr>
                <w:sz w:val="19"/>
              </w:rPr>
              <w:t xml:space="preserve"> if not moved). Outputs to main project path: </w:t>
            </w:r>
            <w:r>
              <w:rPr>
                <w:rFonts w:ascii="Consolas" w:hAnsi="Consolas"/>
                <w:sz w:val="19"/>
              </w:rPr>
              <w:t>C:/.../security_scanner/Phishield_Scanner_Gap_Analysis_v10.docx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FAIR Model Gap Analysis (legacy)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generators/generate_gap_analysis.cjs</w:t>
            </w:r>
            <w:r>
              <w:rPr>
                <w:sz w:val="19"/>
              </w:rPr>
              <w:t xml:space="preserve"> produces </w:t>
            </w:r>
            <w:r>
              <w:rPr>
                <w:rFonts w:ascii="Consolas" w:hAnsi="Consolas"/>
                <w:sz w:val="19"/>
              </w:rPr>
              <w:t>Phishield_FAIR_Model_Gap_Analysis.docx</w:t>
            </w:r>
            <w:r>
              <w:rPr>
                <w:sz w:val="19"/>
              </w:rPr>
              <w:t>. Pre-v10 artifact; check if still needed before next regeneration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Sensitivity analysis docs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tooling/sensitivity/sensitivity_analysis*.py</w:t>
            </w:r>
            <w:r>
              <w:rPr>
                <w:sz w:val="19"/>
              </w:rPr>
              <w:t xml:space="preserve"> + JSONs + </w:t>
            </w:r>
            <w:r>
              <w:rPr>
                <w:rFonts w:ascii="Consolas" w:hAnsi="Consolas"/>
                <w:sz w:val="19"/>
              </w:rPr>
              <w:t>generators/gen_sensitivity_doc.cjs</w:t>
            </w:r>
            <w:r>
              <w:rPr>
                <w:sz w:val="19"/>
              </w:rPr>
              <w:t>. Pre-v10 calibration analysis; verify relevance before next regeneration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Legacy gap analysis v6/v7/v8 docx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Archived at </w:t>
            </w:r>
            <w:r>
              <w:rPr>
                <w:rFonts w:ascii="Consolas" w:hAnsi="Consolas"/>
                <w:sz w:val="19"/>
              </w:rPr>
              <w:t>docs/archive/</w:t>
            </w:r>
            <w:r>
              <w:rPr>
                <w:sz w:val="19"/>
              </w:rPr>
              <w:t>. Kept for historical reference; not regenerated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8. Document quality rules (cross-project)</w:t>
      </w:r>
    </w:p>
    <w:p>
      <w:r>
        <w:t>Hard rules for all client-facing PDF / docx outputs live in</w:t>
      </w:r>
    </w:p>
    <w:p>
      <w:r>
        <w:rPr>
          <w:rFonts w:ascii="Consolas" w:hAnsi="Consolas"/>
          <w:sz w:val="18"/>
        </w:rPr>
        <w:t>C:\Users\sarel\.claude\projects\C--Users-sarel-Desktop-Sarel-Local-Only\memory\feedback_document_quality.md</w:t>
      </w:r>
      <w:r>
        <w:t>.</w:t>
      </w:r>
    </w:p>
    <w:p>
      <w:r>
        <w:t>Audit every output against the 12 rules before regeneration. Pre-build</w:t>
      </w:r>
    </w:p>
    <w:p>
      <w:r>
        <w:t>audit gate is rule #0.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How to use this file</w:t>
      </w:r>
    </w:p>
    <w:p>
      <w:pPr>
        <w:pStyle w:val="ListBullet"/>
      </w:pPr>
      <w:r>
        <w:t>Adding an outstanding item: append a row to the relevant section, note status / owner / target date</w:t>
      </w:r>
    </w:p>
    <w:p>
      <w:pPr>
        <w:pStyle w:val="ListBullet"/>
      </w:pPr>
      <w:r>
        <w:t>Closing an item: remove the row (don't strike through — keep the file tight)</w:t>
      </w:r>
    </w:p>
    <w:p>
      <w:pPr>
        <w:pStyle w:val="ListBullet"/>
      </w:pPr>
      <w:r>
        <w:t>Major architectural decisions: add a new section if a single line doesn't capture it</w:t>
      </w:r>
    </w:p>
    <w:p>
      <w:pPr>
        <w:pStyle w:val="ListBullet"/>
      </w:pPr>
      <w:r>
        <w:t>Periodic review: scan this file before any big planning session or commit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