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A cheap discriminator probes /wp-content/, /wp-login.php, and /wp-includes/; if none respond the checker reports 'skipped' (the site is not WordPress and the card does not render in the report). When WordPress is detected, the scanner enumerates 25 popular plugin slugs by HEADing /wp-content/plugins/&lt;slug&gt;/ and harvests version strings from /wp-content/plugins/&lt;slug&gt;/readme.txt via the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FAIR model under-estimates loss-given-breach for the 12% SC-vectored slice — see FIN-9 in the gap analysis for the conditional LGB Pareto refinement that addresses this.</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 Hudson Rock infostealer harvest (via credential_risk), S-4 SPF vendor surface, S-5 known-breach matches —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from sub-industry rules and payment-form signals on the homepage; accountable institution from FS / Legal Services / Real Estate sub-industry mapping; healthcare sub-detail (medical_scheme / pharmacy / pharma / hospital_clinic) from domain and page-title keywords; GDPR and PCI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is inferred from consumer-facing sub-industry labels plus payment-form signals from the homepage probe.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