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widowControl/>
        <w:spacing w:after="80"/>
      </w:pPr>
      <w:r>
        <w:rPr>
          <w:b/>
        </w:rPr>
        <w:t xml:space="preserve">Web-corroborated breach discovery (beyond HIBP): </w:t>
      </w:r>
      <w:r>
        <w:t>HIBP's breaches-by-domain catalogue only fires when a company is itself a named, catalogued victim, so it returns zero for the great majority of South African companies even when they have been breached (for example a 3.6-million-record retail-pharmacy breach that made national headlines but was never added to HIBP). To close that gap the scanner corroborates breach history from dated open-source intelligence: reputable news coverage (via Google News) and public ransomware leak-site listings. A deterministic gate keeps this precise, an item counts only when the company name AND a breach term both appear in the headline, so namesakes and generic security news are dropped.</w:t>
      </w:r>
    </w:p>
    <w:p>
      <w:pPr>
        <w:widowControl/>
        <w:spacing w:after="80"/>
      </w:pPr>
      <w:r>
        <w:t>The question is then RESEARCHED rather than merely matched. The scanner runs a deep, multi-provider answer engine: the query is fanned out across several independent search providers in parallel, the results are fused and ranked, the highest-ranked source pages are actually fetched and read, the engine reasons about what is still missing and searches again, and a language model then synthesises an answer with inline citations to the real sources. A second model pass renders that answer into structured incidents.</w:t>
      </w:r>
    </w:p>
    <w:p>
      <w:pPr>
        <w:widowControl/>
        <w:spacing w:after="80"/>
      </w:pPr>
      <w:r>
        <w:t>Because the engine reads the sources rather than only their headlines, it recovers detail a headline scrape cannot: the date the breach actually OCCURRED (as distinct from the date it was first reported), the number of records affected, the root cause, and any regulatory action. In the Dis-Chem example the engine returns an incident date of approximately 28 April 2022 with 3.68 million records affected, attributes the compromise to a third-party e-statement provider accessed by brute force, and cites the Information Regulator's own enforcement notice, where the first press article is dated 11 May 2022 and states none of that. This distinction matters commercially: a recent, confirmed breach materially changes cyber posture, whereas a decade-old one is largely historical, and a third-party root cause is a supply-chain signal rather than a failure of the insured's own controls.</w:t>
      </w:r>
    </w:p>
    <w:p>
      <w:pPr>
        <w:widowControl/>
        <w:spacing w:after="80"/>
      </w:pPr>
      <w:r>
        <w:rPr>
          <w:b/>
          <w:color w:val="003399"/>
        </w:rPr>
        <w:t xml:space="preserve">NOTE: </w:t>
      </w:r>
      <w:r>
        <w:t>Conservative by design, like the credential confidence column. A confirmed breach requires a ransomware leak-site listing or two or more independent reputable outlets; a single ambiguous mention is graded low-confidence and is surfaced as a monitoring signal, not asserted as a breach. A leak-site listing is direct evidence of compromise and floors the verdict at confirmed. If the research layer is unavailable, the check degrades gracefully to the deterministic verdict rather than failing, and records which layer produced the result so a thin answer is never mistaken for a clean one.</w:t>
      </w:r>
    </w:p>
    <w:p>
      <w:pPr>
        <w:widowControl/>
        <w:spacing w:after="80"/>
      </w:pPr>
      <w:r>
        <w:rPr>
          <w:b/>
        </w:rPr>
        <w:t xml:space="preserve">How a researched breach affects the score: </w:t>
      </w:r>
      <w:r>
        <w:t>Breach history is scored on RECENCY rather than on how many breaches are listed. A single incident last quarter says far more about present-day posture than several a decade ago, and the older count-based treatment said the opposite. The researched result supersedes the HIBP count in the same breach-history slot at the same weight, so nothing is double-counted and HIBP is retained as a floor. An incident within the last year carries the full weighting, tapering through roughly the three-year mark and falling away beyond five years, on the reasoning that staff, infrastructure and controls turn over. A single-source result carries about seventy percent of a corroborated one.</w:t>
      </w:r>
    </w:p>
    <w:p>
      <w:pPr>
        <w:widowControl/>
        <w:spacing w:after="80"/>
      </w:pPr>
      <w:r>
        <w:t>The same dated result also drives the breach-recency component of the Data Breach Resilience index, which previously depended on a HIBP date that is absent for almost every South African domain, and it adds a repeat-victimisation factor to the Ransomware Susceptibility Index. That factor is weighted by quarter through the first year, because the recovery window is itself the period of elevated risk: an insured still rebuilding systems, rotating credentials and running incident response is at its most exposed, and that exposure eases as remediation lands. It falls away entirely beyond three years.</w:t>
      </w:r>
    </w:p>
    <w:p>
      <w:pPr>
        <w:widowControl/>
        <w:spacing w:after="80"/>
      </w:pPr>
      <w:r>
        <w:rPr>
          <w:b/>
          <w:color w:val="B40000"/>
        </w:rPr>
        <w:t xml:space="preserve">WARNING: </w:t>
      </w:r>
      <w:r>
        <w:t>If the research cannot run, the breach history is reported as UNASSESSED and contributes nothing to the score. It is never reported as clean. An absence of evidence produced by an outage is not evidence of absence, and the distinction is visible on both the scan form and the report.</w:t>
      </w:r>
    </w:p>
    <w:p>
      <w:pPr>
        <w:widowControl/>
        <w:spacing w:after="80"/>
      </w:pPr>
      <w:r>
        <w:rPr>
          <w:b/>
        </w:rPr>
        <w:t xml:space="preserve">Where it appears in the outputs: </w:t>
      </w:r>
      <w:r>
        <w:t>The full technical report opens the Exposure and Reputation section with a Breach History card carrying the verdict, the date of the most recent incident and how long ago it was, each dated incident with the records affected and root cause where the sources state them, and the sources cited. The interactive dashboard carries the same panel at the top of the Exposure page. Where the research could not run, both render the unassessed state with an explicit caveat rather than a clean result, so the distinction survives into the client-facing document.</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2026-07-27: Researched breach history now carries scoring weight, on RECENCY rather than count. The dated result supersedes the HIBP count in the same breach-history slot at the same weight (no double-count; HIBP retained as a floor), supplies the Data Breach Resilience recency component that previously depended on a HIBP date absent for almost every South African domain, and adds a repeat-victimisation factor to the Ransomware Susceptibility Index weighted by quarter through the first year, since the post-breach recovery window is itself the period of elevated risk. A scan that could not research the history reports it as UNASSESSED and contributes nothing, never as clean. The Exposure page gained a dedicated Breach History panel showing the verdict, the dated incidents with records and root cause, and the cited sources; the scan form shows whether the web-search key is live before a scan is run.</w:t>
      </w:r>
    </w:p>
    <w:p>
      <w:pPr>
        <w:pStyle w:val="ListParagraph"/>
        <w:widowControl/>
        <w:spacing w:after="40"/>
      </w:pPr>
      <w:r>
        <w:t>2026-07-27: Web-corroborated breach discovery added to the breach-history checker (Section 4.6.1). Because HIBP's breaches-by-domain catalogue is thin, the scanner now corroborates breaches from dated open-source intelligence (reputable news and ransomware leak-site listings) and then RESEARCHES the question with a deep, multi-provider answer engine that reads the source pages, iterates on gaps, and cites its sources. This recovers the date a breach actually occurred, the records affected and the root cause, none of which HIBP or a headline scrape provides. Conservative by design and degrades gracefully to a deterministic verdict when the research layer is unavailable.</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