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744"/>
          <w:sz w:val="22"/>
        </w:rPr>
        <w:t>PHISHIELD CYBER RISK SCANNER</w:t>
      </w:r>
    </w:p>
    <w:p>
      <w:pPr>
        <w:jc w:val="center"/>
      </w:pPr>
      <w:r>
        <w:rPr>
          <w:b/>
          <w:color w:val="0F2744"/>
          <w:sz w:val="40"/>
        </w:rPr>
        <w:t>Outstanding Items</w:t>
      </w:r>
    </w:p>
    <w:p>
      <w:pPr>
        <w:jc w:val="center"/>
      </w:pPr>
      <w:r>
        <w:rPr>
          <w:i/>
          <w:color w:val="64748B"/>
          <w:sz w:val="18"/>
        </w:rPr>
        <w:t>Generated from OUTSTANDING.md</w:t>
      </w:r>
    </w:p>
    <w:p/>
    <w:p>
      <w:r>
        <w:rPr>
          <w:b/>
        </w:rPr>
        <w:t>Last updated</w:t>
      </w:r>
      <w:r>
        <w:t>: 2026-05-16</w:t>
      </w:r>
    </w:p>
    <w:p>
      <w:r>
        <w:rPr>
          <w:b/>
        </w:rPr>
        <w:t>Owner</w:t>
      </w:r>
      <w:r>
        <w:t>: SML Consulting (engineering) + Phishield UMA (ops)</w:t>
      </w:r>
    </w:p>
    <w:p>
      <w:r>
        <w:rPr>
          <w:b/>
        </w:rPr>
        <w:t>Authoritative source</w:t>
      </w:r>
      <w:r>
        <w:t xml:space="preserve"> for items pending across the scanner project.</w:t>
      </w:r>
    </w:p>
    <w:p>
      <w:r>
        <w:t>Consolidates open items from gap analysis SCN-* entries, memory files,</w:t>
      </w:r>
    </w:p>
    <w:p>
      <w:r>
        <w:t>and session-level decisions. Update this file whenever a new</w:t>
      </w:r>
    </w:p>
    <w:p>
      <w:r>
        <w:t>outstanding item lands.</w:t>
      </w:r>
    </w:p>
    <w:p>
      <w:r>
        <w:rPr>
          <w:b/>
        </w:rPr>
        <w:t>File pair:</w:t>
      </w:r>
    </w:p>
    <w:p>
      <w:pPr>
        <w:pStyle w:val="ListBullet"/>
      </w:pPr>
      <w:r>
        <w:rPr>
          <w:rFonts w:ascii="Consolas" w:hAnsi="Consolas"/>
          <w:sz w:val="18"/>
        </w:rPr>
        <w:t>OUTSTANDING.md</w:t>
      </w:r>
      <w:r>
        <w:t xml:space="preserve"> (this file) is the live working version — edit here.</w:t>
      </w:r>
    </w:p>
    <w:p>
      <w:pPr>
        <w:pStyle w:val="ListBullet"/>
      </w:pPr>
      <w:r>
        <w:rPr>
          <w:rFonts w:ascii="Consolas" w:hAnsi="Consolas"/>
          <w:sz w:val="18"/>
        </w:rPr>
        <w:t>OUTSTANDING.docx</w:t>
      </w:r>
      <w:r>
        <w:t xml:space="preserve"> is a polished read-only snapshot for easy reading.</w:t>
      </w:r>
    </w:p>
    <w:p>
      <w:r>
        <w:t xml:space="preserve">  Regenerate after each edit with </w:t>
      </w:r>
      <w:r>
        <w:rPr>
          <w:rFonts w:ascii="Consolas" w:hAnsi="Consolas"/>
          <w:sz w:val="18"/>
        </w:rPr>
        <w:t>py -3 tooling/generate_outstanding_docx.py</w:t>
      </w:r>
    </w:p>
    <w:p>
      <w:r>
        <w:t xml:space="preserve">  (from the </w:t>
      </w:r>
      <w:r>
        <w:rPr>
          <w:rFonts w:ascii="Consolas" w:hAnsi="Consolas"/>
          <w:sz w:val="18"/>
        </w:rPr>
        <w:t>security_scanner/</w:t>
      </w:r>
      <w:r>
        <w:t xml:space="preserve"> directory). The script applies Phishield</w:t>
      </w:r>
    </w:p>
    <w:p>
      <w:r>
        <w:t xml:space="preserve">  branding and formats tables for printable / shareable output.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1. Hosting / infrastructure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2493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2493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Owner</w:t>
            </w:r>
          </w:p>
        </w:tc>
        <w:tc>
          <w:tcPr>
            <w:tcW w:type="dxa" w:w="2493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Target date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Cloudflare / Hetzner proxy for `phishield.com/scanner-info`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Pending hosting-company action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Hosting team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Tuesday 2026-05-19 (WordPress → HTML cutover). Handoff doc at </w:t>
            </w:r>
            <w:r>
              <w:rPr>
                <w:rFonts w:ascii="Consolas" w:hAnsi="Consolas"/>
                <w:sz w:val="19"/>
              </w:rPr>
              <w:t>docs/scanner_info_proxy_setup.md</w:t>
            </w:r>
            <w:r>
              <w:rPr>
                <w:sz w:val="19"/>
              </w:rPr>
              <w:t>. Options: static copy (simplest), nginx reverse-proxy (cleanest), Cloudflare layer (long-term).</w:t>
            </w:r>
          </w:p>
        </w:tc>
      </w:tr>
      <w:tr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User-Agent flip back to canonical `phishield.com/scanner-info`</w:t>
            </w:r>
          </w:p>
        </w:tc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Blocked by proxy above</w:t>
            </w:r>
          </w:p>
        </w:tc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Engineering</w:t>
            </w:r>
          </w:p>
        </w:tc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After hosting team confirms </w:t>
            </w:r>
            <w:r>
              <w:rPr>
                <w:rFonts w:ascii="Consolas" w:hAnsi="Consolas"/>
                <w:sz w:val="19"/>
              </w:rPr>
              <w:t>phishield.com/scanner-info</w:t>
            </w:r>
            <w:r>
              <w:rPr>
                <w:sz w:val="19"/>
              </w:rPr>
              <w:t xml:space="preserve"> returns 200. Single-line change in </w:t>
            </w:r>
            <w:r>
              <w:rPr>
                <w:rFonts w:ascii="Consolas" w:hAnsi="Consolas"/>
                <w:sz w:val="19"/>
              </w:rPr>
              <w:t>http_client.py</w:t>
            </w:r>
            <w:r>
              <w:rPr>
                <w:sz w:val="19"/>
              </w:rPr>
              <w:t xml:space="preserve"> USER_AGENT constant.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GCP / Vertex AI migration of scanner backend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Future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Phishield ops + engineering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No fixed date. Adds protected environment + LLM-augmented analysis. When this lands: re-run scanner-info IP-range description; update User-Agent host; migrate </w:t>
            </w:r>
            <w:r>
              <w:rPr>
                <w:rFonts w:ascii="Consolas" w:hAnsi="Consolas"/>
                <w:sz w:val="19"/>
              </w:rPr>
              <w:t>scans.db</w:t>
            </w:r>
            <w:r>
              <w:rPr>
                <w:sz w:val="19"/>
              </w:rPr>
              <w:t xml:space="preserve"> from SQLite-on-Render to Cloud SQL Postgres.</w:t>
            </w:r>
          </w:p>
        </w:tc>
      </w:tr>
      <w:tr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Eventual move to Hetzner self-hosted</w:t>
            </w:r>
          </w:p>
        </w:tc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Future-future</w:t>
            </w:r>
          </w:p>
        </w:tc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TBD</w:t>
            </w:r>
          </w:p>
        </w:tc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After GCP/Vertex experience accumulated.</w:t>
            </w:r>
          </w:p>
        </w:tc>
      </w:tr>
    </w:tbl>
    <w:p/>
    <w:p>
      <w:pPr>
        <w:spacing w:before="280" w:after="80"/>
      </w:pPr>
      <w:r>
        <w:rPr>
          <w:b/>
          <w:color w:val="0F2744"/>
          <w:sz w:val="28"/>
        </w:rPr>
        <w:t>2. External API budget (Phase 2 unblockers)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API</w:t>
            </w:r>
          </w:p>
        </w:tc>
        <w:tc>
          <w:tcPr>
            <w:tcW w:type="dxa" w:w="199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Current tier</w:t>
            </w:r>
          </w:p>
        </w:tc>
        <w:tc>
          <w:tcPr>
            <w:tcW w:type="dxa" w:w="199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Required tier for 4,000-cohort</w:t>
            </w:r>
          </w:p>
        </w:tc>
        <w:tc>
          <w:tcPr>
            <w:tcW w:type="dxa" w:w="199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Estimated monthly cost</w:t>
            </w:r>
          </w:p>
        </w:tc>
        <w:tc>
          <w:tcPr>
            <w:tcW w:type="dxa" w:w="199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Action by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Shodan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Free </w:t>
            </w:r>
            <w:r>
              <w:rPr>
                <w:rFonts w:ascii="Consolas" w:hAnsi="Consolas"/>
                <w:sz w:val="19"/>
              </w:rPr>
              <w:t>oss</w:t>
            </w:r>
            <w:r>
              <w:rPr>
                <w:sz w:val="19"/>
              </w:rPr>
              <w:t xml:space="preserve"> (0 query credits — confirmed via </w:t>
            </w:r>
            <w:r>
              <w:rPr>
                <w:rFonts w:ascii="Consolas" w:hAnsi="Consolas"/>
                <w:sz w:val="19"/>
              </w:rPr>
              <w:t>/api-info</w:t>
            </w:r>
            <w:r>
              <w:rPr>
                <w:sz w:val="19"/>
              </w:rPr>
              <w:t xml:space="preserve"> 2026-05-29)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Freelancer ($69/mo, 10,000 query credits)</w:t>
            </w:r>
            <w:r>
              <w:rPr>
                <w:sz w:val="19"/>
              </w:rPr>
              <w:t xml:space="preserve"> unlocks search + origin cert-search. One-time </w:t>
            </w:r>
            <w:r>
              <w:rPr>
                <w:b/>
                <w:sz w:val="19"/>
              </w:rPr>
              <w:t>Membership (~$49, 100 credits/mo)</w:t>
            </w:r>
            <w:r>
              <w:rPr>
                <w:sz w:val="19"/>
              </w:rPr>
              <w:t xml:space="preserve"> is a low-volume stopgap.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~$69/mo (≈R1,300) if per-IP vuln data stays on free InternetDB and only origin cert-search spends credits (~1 credit/scan). Higher only if per-IP </w:t>
            </w:r>
            <w:r>
              <w:rPr>
                <w:rFonts w:ascii="Consolas" w:hAnsi="Consolas"/>
                <w:sz w:val="19"/>
              </w:rPr>
              <w:t>/shodan/host/{ip}</w:t>
            </w:r>
            <w:r>
              <w:rPr>
                <w:sz w:val="19"/>
              </w:rPr>
              <w:t xml:space="preserve"> lookups are also moved to the paid API.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Before 1 July 2026 — </w:t>
            </w:r>
            <w:r>
              <w:rPr>
                <w:b/>
                <w:sz w:val="19"/>
              </w:rPr>
              <w:t>also gates origin IP discovery (see §5, item 4c), which is a scanner-breaking RDP false-negative on CDN-fronted targets</w:t>
            </w:r>
          </w:p>
        </w:tc>
      </w:tr>
      <w:tr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SecurityTrails</w:t>
            </w:r>
          </w:p>
        </w:tc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Free (100/month; history endpoint works on current key — confirmed 2026-05-29, NOT paid-gated)</w:t>
            </w:r>
          </w:p>
        </w:tc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Paid tier for sustained usage</w:t>
            </w:r>
          </w:p>
        </w:tc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Similar order of magnitude</w:t>
            </w:r>
          </w:p>
        </w:tc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Before 1 July 2026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VirusTotal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Free (4/min, 500/day)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No upgrade needed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n/a</w:t>
            </w:r>
          </w:p>
        </w:tc>
      </w:tr>
      <w:tr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IntelX</w:t>
            </w:r>
          </w:p>
        </w:tc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Trial expired 2026-04-08</w:t>
            </w:r>
          </w:p>
        </w:tc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Pick alternative or remove from pipeline</w:t>
            </w:r>
          </w:p>
        </w:tc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Decision pending</w:t>
            </w:r>
          </w:p>
        </w:tc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Before 1 July 2026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HIBP, Hudson Rock, OSV.dev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Free unlimited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No upgrade needed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n/a</w:t>
            </w:r>
          </w:p>
        </w:tc>
      </w:tr>
    </w:tbl>
    <w:p/>
    <w:p>
      <w:pPr>
        <w:spacing w:before="200" w:after="40"/>
      </w:pPr>
      <w:r>
        <w:rPr>
          <w:b/>
          <w:color w:val="0F2744"/>
          <w:sz w:val="22"/>
        </w:rPr>
        <w:t>Shodan origin cert-search — how to make it live</w:t>
      </w:r>
    </w:p>
    <w:p>
      <w:r>
        <w:t>Origin IP discovery (</w:t>
      </w:r>
      <w:r>
        <w:rPr>
          <w:rFonts w:ascii="Consolas" w:hAnsi="Consolas"/>
          <w:sz w:val="18"/>
        </w:rPr>
        <w:t>origin_discovery.py</w:t>
      </w:r>
      <w:r>
        <w:t xml:space="preserve">) is </w:t>
      </w:r>
      <w:r>
        <w:rPr>
          <w:b/>
        </w:rPr>
        <w:t>already wired and deployed</w:t>
      </w:r>
      <w:r>
        <w:t>.</w:t>
      </w:r>
    </w:p>
    <w:p>
      <w:r>
        <w:t>It works in two stages and the paid stage **auto-activates the moment a paid</w:t>
      </w:r>
    </w:p>
    <w:p>
      <w:r>
        <w:t>key is in place — no code change or redeploy of logic is needed**:</w:t>
      </w:r>
    </w:p>
    <w:p>
      <w:pPr>
        <w:pStyle w:val="ListBullet"/>
      </w:pPr>
      <w:r>
        <w:rPr>
          <w:b/>
        </w:rPr>
        <w:t>Free stage (live now):</w:t>
      </w:r>
      <w:r>
        <w:t xml:space="preserve"> </w:t>
      </w:r>
      <w:r>
        <w:rPr>
          <w:rFonts w:ascii="Consolas" w:hAnsi="Consolas"/>
          <w:sz w:val="18"/>
        </w:rPr>
        <w:t>/shodan/host/count</w:t>
      </w:r>
      <w:r>
        <w:t xml:space="preserve"> returns how many internet</w:t>
      </w:r>
    </w:p>
    <w:p>
      <w:r>
        <w:t xml:space="preserve">   hosts present the target's TLS certificate. Surfaced in the report as the</w:t>
      </w:r>
    </w:p>
    <w:p>
      <w:r>
        <w:t xml:space="preserve">   "Origin IP Discovery" card. When that count exceeds the origins we confirm</w:t>
      </w:r>
    </w:p>
    <w:p>
      <w:r>
        <w:t xml:space="preserve">   via DNS history, the report flags a likely </w:t>
      </w:r>
      <w:r>
        <w:rPr>
          <w:b/>
        </w:rPr>
        <w:t>undiscovered exposed origin</w:t>
      </w:r>
      <w:r>
        <w:t>.</w:t>
      </w:r>
    </w:p>
    <w:p>
      <w:pPr>
        <w:pStyle w:val="ListBullet"/>
      </w:pPr>
      <w:r>
        <w:rPr>
          <w:b/>
        </w:rPr>
        <w:t>Paid stage (pending key):</w:t>
      </w:r>
      <w:r>
        <w:t xml:space="preserve"> </w:t>
      </w:r>
      <w:r>
        <w:rPr>
          <w:rFonts w:ascii="Consolas" w:hAnsi="Consolas"/>
          <w:sz w:val="18"/>
        </w:rPr>
        <w:t>/shodan/host/search</w:t>
      </w:r>
      <w:r>
        <w:t xml:space="preserve"> returns the actual</w:t>
      </w:r>
    </w:p>
    <w:p>
      <w:r>
        <w:t xml:space="preserve">   origin IPs. On the free </w:t>
      </w:r>
      <w:r>
        <w:rPr>
          <w:rFonts w:ascii="Consolas" w:hAnsi="Consolas"/>
          <w:sz w:val="18"/>
        </w:rPr>
        <w:t>oss</w:t>
      </w:r>
      <w:r>
        <w:t xml:space="preserve"> plan it returns HTTP 403 and we fall back to</w:t>
      </w:r>
    </w:p>
    <w:p>
      <w:r>
        <w:t xml:space="preserve">   count-only. On a paid plan it returns the IPs, which are then TLS-cert</w:t>
      </w:r>
    </w:p>
    <w:p>
      <w:r>
        <w:t xml:space="preserve">   verified and scanned like any other origin.</w:t>
      </w:r>
    </w:p>
    <w:p>
      <w:r>
        <w:rPr>
          <w:b/>
        </w:rPr>
        <w:t>Go-live steps:</w:t>
      </w:r>
    </w:p>
    <w:p>
      <w:pPr>
        <w:pStyle w:val="ListBullet"/>
      </w:pPr>
      <w:r>
        <w:t xml:space="preserve">Buy a Shodan plan — </w:t>
      </w:r>
      <w:r>
        <w:rPr>
          <w:b/>
        </w:rPr>
        <w:t>Freelancer ($69/mo)</w:t>
      </w:r>
      <w:r>
        <w:t xml:space="preserve"> recommended (10,000 query</w:t>
      </w:r>
    </w:p>
    <w:p>
      <w:r>
        <w:t xml:space="preserve">   credits/mo); or one-time </w:t>
      </w:r>
      <w:r>
        <w:rPr>
          <w:b/>
        </w:rPr>
        <w:t>Membership (~$49)</w:t>
      </w:r>
      <w:r>
        <w:t xml:space="preserve"> for low volume. Buy it on</w:t>
      </w:r>
    </w:p>
    <w:p>
      <w:r>
        <w:t xml:space="preserve">   the Shodan account </w:t>
      </w:r>
      <w:r>
        <w:rPr>
          <w:b/>
        </w:rPr>
        <w:t>whose API key is already set in Render</w:t>
      </w:r>
      <w:r>
        <w:t xml:space="preserve"> (so credits</w:t>
      </w:r>
    </w:p>
    <w:p>
      <w:r>
        <w:t xml:space="preserve">   attach to that key), or buy on a new account and update the key in step 2.</w:t>
      </w:r>
    </w:p>
    <w:p>
      <w:pPr>
        <w:pStyle w:val="ListBullet"/>
      </w:pPr>
      <w:r>
        <w:t xml:space="preserve">Set / confirm </w:t>
      </w:r>
      <w:r>
        <w:rPr>
          <w:rFonts w:ascii="Consolas" w:hAnsi="Consolas"/>
          <w:sz w:val="18"/>
        </w:rPr>
        <w:t>SHODAN_API_KEY</w:t>
      </w:r>
      <w:r>
        <w:t xml:space="preserve"> in the Render environment for the scanner</w:t>
      </w:r>
    </w:p>
    <w:p>
      <w:r>
        <w:t xml:space="preserve">   service (Render → service → Environment). No code change required.</w:t>
      </w:r>
    </w:p>
    <w:p>
      <w:pPr>
        <w:pStyle w:val="ListBullet"/>
      </w:pPr>
      <w:r>
        <w:t xml:space="preserve">(Optional) verify with </w:t>
      </w:r>
      <w:r>
        <w:rPr>
          <w:rFonts w:ascii="Consolas" w:hAnsi="Consolas"/>
          <w:sz w:val="18"/>
        </w:rPr>
        <w:t>GET https://api.shodan.io/api-info?key=...</w:t>
      </w:r>
      <w:r>
        <w:t xml:space="preserve"> —</w:t>
      </w:r>
    </w:p>
    <w:p>
      <w:r>
        <w:t xml:space="preserve">   </w:t>
      </w:r>
      <w:r>
        <w:rPr>
          <w:rFonts w:ascii="Consolas" w:hAnsi="Consolas"/>
          <w:sz w:val="18"/>
        </w:rPr>
        <w:t>query_credits</w:t>
      </w:r>
      <w:r>
        <w:t xml:space="preserve"> should be &gt; 0 and </w:t>
      </w:r>
      <w:r>
        <w:rPr>
          <w:rFonts w:ascii="Consolas" w:hAnsi="Consolas"/>
          <w:sz w:val="18"/>
        </w:rPr>
        <w:t>plan</w:t>
      </w:r>
      <w:r>
        <w:t xml:space="preserve"> should read </w:t>
      </w:r>
      <w:r>
        <w:rPr>
          <w:rFonts w:ascii="Consolas" w:hAnsi="Consolas"/>
          <w:sz w:val="18"/>
        </w:rPr>
        <w:t>dev</w:t>
      </w:r>
      <w:r>
        <w:t>/</w:t>
      </w:r>
      <w:r>
        <w:rPr>
          <w:rFonts w:ascii="Consolas" w:hAnsi="Consolas"/>
          <w:sz w:val="18"/>
        </w:rPr>
        <w:t>member</w:t>
      </w:r>
      <w:r>
        <w:t>/etc.,</w:t>
      </w:r>
    </w:p>
    <w:p>
      <w:r>
        <w:t xml:space="preserve">   not </w:t>
      </w:r>
      <w:r>
        <w:rPr>
          <w:rFonts w:ascii="Consolas" w:hAnsi="Consolas"/>
          <w:sz w:val="18"/>
        </w:rPr>
        <w:t>oss</w:t>
      </w:r>
      <w:r>
        <w:t>.</w:t>
      </w:r>
    </w:p>
    <w:p>
      <w:pPr>
        <w:pStyle w:val="ListBullet"/>
      </w:pPr>
      <w:r>
        <w:t>Next scan of a CDN-fronted domain will retrieve + verify + scan the real</w:t>
      </w:r>
    </w:p>
    <w:p>
      <w:r>
        <w:t xml:space="preserve">   origin IPs automatically; the "Origin IP Discovery" card switches from a</w:t>
      </w:r>
    </w:p>
    <w:p>
      <w:r>
        <w:t xml:space="preserve">   count-only hint to listing the verified origins.</w:t>
      </w:r>
    </w:p>
    <w:p>
      <w:r>
        <w:t xml:space="preserve">Budget note: keep per-IP vulnerability data on the </w:t>
      </w:r>
      <w:r>
        <w:rPr>
          <w:b/>
        </w:rPr>
        <w:t>free InternetDB</w:t>
      </w:r>
      <w:r>
        <w:t xml:space="preserve"> path</w:t>
      </w:r>
    </w:p>
    <w:p>
      <w:r>
        <w:t>(current default) so Shodan credits are spent only on the ~1-credit-per-scan</w:t>
      </w:r>
    </w:p>
    <w:p>
      <w:r>
        <w:t xml:space="preserve">cert-search. Moving </w:t>
      </w:r>
      <w:r>
        <w:rPr>
          <w:rFonts w:ascii="Consolas" w:hAnsi="Consolas"/>
          <w:sz w:val="18"/>
        </w:rPr>
        <w:t>/shodan/host/{ip}</w:t>
      </w:r>
      <w:r>
        <w:t xml:space="preserve"> per-IP lookups onto the paid API is</w:t>
      </w:r>
    </w:p>
    <w:p>
      <w:r>
        <w:t>the larger credit consumer (~1 credit per discovered IP per scan) and is a</w:t>
      </w:r>
    </w:p>
    <w:p>
      <w:r>
        <w:t>separate decision.</w:t>
      </w:r>
    </w:p>
    <w:p>
      <w:pPr>
        <w:spacing w:before="280" w:after="80"/>
      </w:pPr>
      <w:r>
        <w:rPr>
          <w:b/>
          <w:color w:val="0F2744"/>
          <w:sz w:val="28"/>
        </w:rPr>
        <w:t>3. Peer benchmarking rollout (SCN-028)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2493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2493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Start date</w:t>
            </w:r>
          </w:p>
        </w:tc>
        <w:tc>
          <w:tcPr>
            <w:tcW w:type="dxa" w:w="2493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Source tag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Phase 1 — public reference seed pool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Live</w:t>
            </w:r>
            <w:r>
              <w:rPr>
                <w:sz w:val="19"/>
              </w:rPr>
              <w:t xml:space="preserve"> (bi-weekly via </w:t>
            </w:r>
            <w:r>
              <w:rPr>
                <w:rFonts w:ascii="Consolas" w:hAnsi="Consolas"/>
                <w:sz w:val="19"/>
              </w:rPr>
              <w:t>tooling/benchmark_runner.py</w:t>
            </w:r>
            <w:r>
              <w:rPr>
                <w:sz w:val="19"/>
              </w:rPr>
              <w:t>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2026-05-16 onwards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benchmark_pool</w:t>
            </w:r>
          </w:p>
        </w:tc>
      </w:tr>
      <w:tr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Phase 2 — lower-tier-upsell cohort (~4,000 clients)</w:t>
            </w:r>
          </w:p>
        </w:tc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Pending</w:t>
            </w:r>
          </w:p>
        </w:tc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1 July 2026 → ~Feb 2027 (6-9 months at ~25-30/day)</w:t>
            </w:r>
          </w:p>
        </w:tc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lower_tier_upsell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Phase 3 — broker opt-in via scan form checkbox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Future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When opt-in plumbing is added; no fixed date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client_optin</w:t>
            </w:r>
          </w:p>
        </w:tc>
      </w:tr>
    </w:tbl>
    <w:p/>
    <w:p>
      <w:r>
        <w:rPr>
          <w:b/>
        </w:rPr>
        <w:t>Phase 2 prerequisites</w:t>
      </w:r>
      <w:r>
        <w:t xml:space="preserve"> (must complete before 1 July):</w:t>
      </w:r>
    </w:p>
    <w:p>
      <w:pPr>
        <w:pStyle w:val="ListBullet"/>
      </w:pPr>
      <w:r>
        <w:t>[ ] Export 4,000-client list to CSV (</w:t>
      </w:r>
      <w:r>
        <w:rPr>
          <w:rFonts w:ascii="Consolas" w:hAnsi="Consolas"/>
          <w:sz w:val="18"/>
        </w:rPr>
        <w:t>domain, industry, sub_industry, annual_revenue_zar</w:t>
      </w:r>
      <w:r>
        <w:t xml:space="preserve"> columns)</w:t>
      </w:r>
    </w:p>
    <w:p>
      <w:pPr>
        <w:pStyle w:val="ListBullet"/>
      </w:pPr>
      <w:r>
        <w:t>[ ] API tier upgrades (see section 2)</w:t>
      </w:r>
    </w:p>
    <w:p>
      <w:pPr>
        <w:pStyle w:val="ListBullet"/>
      </w:pPr>
      <w:r>
        <w:t xml:space="preserve">[ ] Daily cron / Render scheduled job invoking </w:t>
      </w:r>
      <w:r>
        <w:rPr>
          <w:rFonts w:ascii="Consolas" w:hAnsi="Consolas"/>
          <w:sz w:val="18"/>
        </w:rPr>
        <w:t>py -3 tooling/benchmark_runner.py --source lower_tier_upsell --input-csv ... --limit 25</w:t>
      </w:r>
    </w:p>
    <w:p>
      <w:pPr>
        <w:pStyle w:val="ListBullet"/>
      </w:pPr>
      <w:r>
        <w:t>[ ] Phase 2 upsell workflow definition (how to deliver PDFs to brokers / clients)</w:t>
      </w:r>
    </w:p>
    <w:p>
      <w:pPr>
        <w:spacing w:before="280" w:after="80"/>
      </w:pPr>
      <w:r>
        <w:rPr>
          <w:b/>
          <w:color w:val="0F2744"/>
          <w:sz w:val="28"/>
        </w:rPr>
        <w:t>4. Deferred-to-continuous-monitoring track (SCN-026)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986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Probe-cache SQLite-backed implementation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Interface defined in </w:t>
            </w:r>
            <w:r>
              <w:rPr>
                <w:rFonts w:ascii="Consolas" w:hAnsi="Consolas"/>
                <w:sz w:val="19"/>
              </w:rPr>
              <w:t>http_client.ProbeCache</w:t>
            </w:r>
            <w:r>
              <w:rPr>
                <w:sz w:val="19"/>
              </w:rPr>
              <w:t xml:space="preserve">; default </w:t>
            </w:r>
            <w:r>
              <w:rPr>
                <w:rFonts w:ascii="Consolas" w:hAnsi="Consolas"/>
                <w:sz w:val="19"/>
              </w:rPr>
              <w:t>_NullProbeCache</w:t>
            </w:r>
            <w:r>
              <w:rPr>
                <w:sz w:val="19"/>
              </w:rPr>
              <w:t xml:space="preserve"> no-op. Real implementation lands with continuous-monitoring scheduler.</w:t>
            </w:r>
          </w:p>
        </w:tc>
      </w:tr>
      <w:tr>
        <w:tc>
          <w:tcPr>
            <w:tcW w:type="dxa" w:w="498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Continuous-monitoring scheduler</w:t>
            </w:r>
          </w:p>
        </w:tc>
        <w:tc>
          <w:tcPr>
            <w:tcW w:type="dxa" w:w="498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Open. Estimated 3-4 week build. Requires probe cache + per-tenant scheduling + delta-finding detection + alert-on-change pipeline.</w:t>
            </w:r>
          </w:p>
        </w:tc>
      </w:tr>
    </w:tbl>
    <w:p/>
    <w:p>
      <w:pPr>
        <w:spacing w:before="280" w:after="80"/>
      </w:pPr>
      <w:r>
        <w:rPr>
          <w:b/>
          <w:color w:val="0F2744"/>
          <w:sz w:val="28"/>
        </w:rPr>
        <w:t>5. Open accuracy items (gap analysis roadmap)</w:t>
      </w:r>
    </w:p>
    <w:p>
      <w:r>
        <w:t>Carried over from v9 / v10 gap analyses. Not blocking but worth flagging: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332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332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4b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CMS admin path detection (dynamic from tech stack)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Open</w:t>
            </w:r>
          </w:p>
        </w:tc>
      </w:tr>
      <w:tr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4c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CDN origin IP leakage / origin discovery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Partial — implemented (`origin_discovery.py`, 2026-05-29):</w:t>
            </w:r>
            <w:r>
              <w:rPr>
                <w:sz w:val="19"/>
              </w:rPr>
              <w:t xml:space="preserve"> SecurityTrails historical-DNS candidates + TLS cert-match verification live; verified origins scanned, candidates surfaced. Free Shodan cert-host count hint live. </w:t>
            </w:r>
            <w:r>
              <w:rPr>
                <w:b/>
                <w:sz w:val="19"/>
              </w:rPr>
              <w:t>Full Shodan cert-search IP retrieval pending paid key (see §2 go-live).</w:t>
            </w:r>
            <w:r>
              <w:rPr>
                <w:sz w:val="19"/>
              </w:rPr>
              <w:t xml:space="preserve"> Also: RDP exposure now reconciled across all discovered IPs, not just the apex (was a false-negative on CDN-fronted targets).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4d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MFA presence on VPN login pages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Open</w:t>
            </w:r>
          </w:p>
        </w:tc>
      </w:tr>
      <w:tr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4e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WAF rate limiting / bot protection detection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Open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4f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DNSSEC validation chain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Open</w:t>
            </w:r>
          </w:p>
        </w:tc>
      </w:tr>
      <w:tr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4h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Exploit Window narrative enhancement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Open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5a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Bug bounty programme detection (HackerOne / Bugcrowd)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Open</w:t>
            </w:r>
          </w:p>
        </w:tc>
      </w:tr>
      <w:tr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5f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retire.js CVE cross-reference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Open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5i-T1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AI Threat Readiness Tier 1 (externally observable)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Glasswing done; rest open</w:t>
            </w:r>
          </w:p>
        </w:tc>
      </w:tr>
      <w:tr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5i-T2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AI Threat Readiness Tier 2 (self-reported)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Open</w:t>
            </w:r>
          </w:p>
        </w:tc>
      </w:tr>
    </w:tbl>
    <w:p/>
    <w:p>
      <w:pPr>
        <w:spacing w:before="280" w:after="80"/>
      </w:pPr>
      <w:r>
        <w:rPr>
          <w:b/>
          <w:color w:val="0F2744"/>
          <w:sz w:val="28"/>
        </w:rPr>
        <w:t>6. Architectural follow-ups (low priority)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986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Refactor remaining checkers through </w:t>
            </w:r>
            <w:r>
              <w:rPr>
                <w:rFonts w:ascii="Consolas" w:hAnsi="Consolas"/>
                <w:sz w:val="19"/>
              </w:rPr>
              <w:t>HTTP</w:t>
            </w:r>
            <w:r>
              <w:rPr>
                <w:sz w:val="19"/>
              </w:rPr>
              <w:t xml:space="preserve"> singleton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privacy_compliance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info_disclosure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exposed_admin</w:t>
            </w:r>
            <w:r>
              <w:rPr>
                <w:sz w:val="19"/>
              </w:rPr>
              <w:t xml:space="preserve"> done. </w:t>
            </w:r>
            <w:r>
              <w:rPr>
                <w:rFonts w:ascii="Consolas" w:hAnsi="Consolas"/>
                <w:sz w:val="19"/>
              </w:rPr>
              <w:t>payment_security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vpn_remote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security_policy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fraudulent_domains</w:t>
            </w:r>
            <w:r>
              <w:rPr>
                <w:sz w:val="19"/>
              </w:rPr>
              <w:t xml:space="preserve">, and single-request checkers (SSL, WAF, etc.) still use direct </w:t>
            </w:r>
            <w:r>
              <w:rPr>
                <w:rFonts w:ascii="Consolas" w:hAnsi="Consolas"/>
                <w:sz w:val="19"/>
              </w:rPr>
              <w:t>requests.get</w:t>
            </w:r>
            <w:r>
              <w:rPr>
                <w:sz w:val="19"/>
              </w:rPr>
              <w:t>. WAF tracker only sees burst probers; widening this gives full WAF visibility. ~3 hrs work, low risk.</w:t>
            </w:r>
          </w:p>
        </w:tc>
      </w:tr>
      <w:tr>
        <w:tc>
          <w:tcPr>
            <w:tcW w:type="dxa" w:w="498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Enforcement-discount % calibration per regulator</w:t>
            </w:r>
          </w:p>
        </w:tc>
        <w:tc>
          <w:tcPr>
            <w:tcW w:type="dxa" w:w="498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Statutory maxima used everywhere in cat stack. Expected-loss view uses heuristic. Compliance officer should set per-regulator discount %.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Civil exposure quantification (POPIA s99 / common-law delict)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Currently qualitative disclosure only. Quantification requires internal-contract data.</w:t>
            </w:r>
          </w:p>
        </w:tc>
      </w:tr>
      <w:tr>
        <w:tc>
          <w:tcPr>
            <w:tcW w:type="dxa" w:w="498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Tail recalibration with empirical SA cat data</w:t>
            </w:r>
          </w:p>
        </w:tc>
        <w:tc>
          <w:tcPr>
            <w:tcW w:type="dxa" w:w="498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5× PERT upper bound on </w:t>
            </w:r>
            <w:r>
              <w:rPr>
                <w:rFonts w:ascii="Consolas" w:hAnsi="Consolas"/>
                <w:sz w:val="19"/>
              </w:rPr>
              <w:t>mc_total_breach</w:t>
            </w:r>
            <w:r>
              <w:rPr>
                <w:sz w:val="19"/>
              </w:rPr>
              <w:t xml:space="preserve"> is conservative. Calibrate against SABRIC + CISA + IBM SA-specific incident-type data when available.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WAF coverage-loading constant calibration (SCN-029)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K_TAIL=1.20</w:t>
            </w:r>
            <w:r>
              <w:rPr>
                <w:sz w:val="19"/>
              </w:rPr>
              <w:t xml:space="preserve"> in </w:t>
            </w:r>
            <w:r>
              <w:rPr>
                <w:rFonts w:ascii="Consolas" w:hAnsi="Consolas"/>
                <w:sz w:val="19"/>
              </w:rPr>
              <w:t>_calculate_zar</w:t>
            </w:r>
            <w:r>
              <w:rPr>
                <w:sz w:val="19"/>
              </w:rPr>
              <w:t xml:space="preserve"> sets how aggressively the catastrophe tail widens per unit of lost scan coverage. Heuristic — calibrate against rescan deltas (blinded scan vs allow-listed rescan of the same target) once continuous monitoring provides paired observations. Only the ZAR path is loaded; the dead USD path is not.</w:t>
            </w:r>
          </w:p>
        </w:tc>
      </w:tr>
      <w:tr>
        <w:tc>
          <w:tcPr>
            <w:tcW w:type="dxa" w:w="498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Bias correction on </w:t>
            </w:r>
            <w:r>
              <w:rPr>
                <w:rFonts w:ascii="Consolas" w:hAnsi="Consolas"/>
                <w:sz w:val="19"/>
              </w:rPr>
              <w:t>lower_tier_upsell</w:t>
            </w:r>
            <w:r>
              <w:rPr>
                <w:sz w:val="19"/>
              </w:rPr>
              <w:t xml:space="preserve"> benchmark cohort</w:t>
            </w:r>
          </w:p>
        </w:tc>
        <w:tc>
          <w:tcPr>
            <w:tcW w:type="dxa" w:w="498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Cohort may not be SA median; pool composition disclosed in report. Future: source-class weighting in percentile calculation.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GPD tail fit MLE upgrade (currently method-of-moments + pure numpy)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scipy.stats.genpareto provides MLE fit but adds dependency. Defer until scipy is acceptable on Render.</w:t>
            </w:r>
          </w:p>
        </w:tc>
      </w:tr>
    </w:tbl>
    <w:p/>
    <w:p>
      <w:pPr>
        <w:spacing w:before="280" w:after="80"/>
      </w:pPr>
      <w:r>
        <w:rPr>
          <w:b/>
          <w:color w:val="0F2744"/>
          <w:sz w:val="28"/>
        </w:rPr>
        <w:t>7. Documentation / artifacts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986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User Manual docx regeneration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py -3 generate_manual.py</w:t>
            </w:r>
            <w:r>
              <w:rPr>
                <w:sz w:val="19"/>
              </w:rPr>
              <w:t xml:space="preserve"> — now a </w:t>
            </w:r>
            <w:r>
              <w:rPr>
                <w:b/>
                <w:sz w:val="19"/>
              </w:rPr>
              <w:t>thin orchestrator</w:t>
            </w:r>
            <w:r>
              <w:rPr>
                <w:sz w:val="19"/>
              </w:rPr>
              <w:t xml:space="preserve"> that assembles </w:t>
            </w:r>
            <w:r>
              <w:rPr>
                <w:rFonts w:ascii="Consolas" w:hAnsi="Consolas"/>
                <w:sz w:val="19"/>
              </w:rPr>
              <w:t>manual_parts/part1-6</w:t>
            </w:r>
            <w:r>
              <w:rPr>
                <w:sz w:val="19"/>
              </w:rPr>
              <w:t xml:space="preserve"> (each </w:t>
            </w:r>
            <w:r>
              <w:rPr>
                <w:rFonts w:ascii="Consolas" w:hAnsi="Consolas"/>
                <w:sz w:val="19"/>
              </w:rPr>
              <w:t>build(doc)</w:t>
            </w:r>
            <w:r>
              <w:rPr>
                <w:sz w:val="19"/>
              </w:rPr>
              <w:t xml:space="preserve">); writes </w:t>
            </w:r>
            <w:r>
              <w:rPr>
                <w:rFonts w:ascii="Consolas" w:hAnsi="Consolas"/>
                <w:sz w:val="19"/>
              </w:rPr>
              <w:t>Phishield_Cyber_Risk_Scanner_User_Manual.docx</w:t>
            </w:r>
            <w:r>
              <w:rPr>
                <w:sz w:val="19"/>
              </w:rPr>
              <w:t xml:space="preserve">. </w:t>
            </w:r>
            <w:r>
              <w:rPr>
                <w:b/>
                <w:sz w:val="19"/>
              </w:rPr>
              <w:t>Edit content in `manual_parts/`</w:t>
            </w:r>
            <w:r>
              <w:rPr>
                <w:sz w:val="19"/>
              </w:rPr>
              <w:t xml:space="preserve"> (not the orchestrator). Helpers live in </w:t>
            </w:r>
            <w:r>
              <w:rPr>
                <w:rFonts w:ascii="Consolas" w:hAnsi="Consolas"/>
                <w:sz w:val="19"/>
              </w:rPr>
              <w:t>manual_parts/helpers.py</w:t>
            </w:r>
            <w:r>
              <w:rPr>
                <w:sz w:val="19"/>
              </w:rPr>
              <w:t xml:space="preserve"> (aliased by top-level </w:t>
            </w:r>
            <w:r>
              <w:rPr>
                <w:rFonts w:ascii="Consolas" w:hAnsi="Consolas"/>
                <w:sz w:val="19"/>
              </w:rPr>
              <w:t>manual_helpers.py</w:t>
            </w:r>
            <w:r>
              <w:rPr>
                <w:sz w:val="19"/>
              </w:rPr>
              <w:t xml:space="preserve">); part1 uses </w:t>
            </w:r>
            <w:r>
              <w:rPr>
                <w:rFonts w:ascii="Consolas" w:hAnsi="Consolas"/>
                <w:sz w:val="19"/>
              </w:rPr>
              <w:t>set_helpers()</w:t>
            </w:r>
            <w:r>
              <w:rPr>
                <w:sz w:val="19"/>
              </w:rPr>
              <w:t xml:space="preserve"> injection, parts 2-6 import directly. The pre-2026-05-18 monolith is retired but preserved in git history (commit before the cutover) if ever needed.</w:t>
            </w:r>
          </w:p>
        </w:tc>
      </w:tr>
      <w:tr>
        <w:tc>
          <w:tcPr>
            <w:tcW w:type="dxa" w:w="498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Gap Analysis v10 regeneration</w:t>
            </w:r>
          </w:p>
        </w:tc>
        <w:tc>
          <w:tcPr>
            <w:tcW w:type="dxa" w:w="498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Auto-regenerated via </w:t>
            </w:r>
            <w:r>
              <w:rPr>
                <w:rFonts w:ascii="Consolas" w:hAnsi="Consolas"/>
                <w:sz w:val="19"/>
              </w:rPr>
              <w:t>node generators/gen_gap_v10.cjs</w:t>
            </w:r>
            <w:r>
              <w:rPr>
                <w:sz w:val="19"/>
              </w:rPr>
              <w:t xml:space="preserve"> (or root </w:t>
            </w:r>
            <w:r>
              <w:rPr>
                <w:rFonts w:ascii="Consolas" w:hAnsi="Consolas"/>
                <w:sz w:val="19"/>
              </w:rPr>
              <w:t>gen_gap_v10.cjs</w:t>
            </w:r>
            <w:r>
              <w:rPr>
                <w:sz w:val="19"/>
              </w:rPr>
              <w:t xml:space="preserve"> if not moved). Outputs to main project path: </w:t>
            </w:r>
            <w:r>
              <w:rPr>
                <w:rFonts w:ascii="Consolas" w:hAnsi="Consolas"/>
                <w:sz w:val="19"/>
              </w:rPr>
              <w:t>C:/.../security_scanner/Phishield_Scanner_Gap_Analysis_v10.docx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FAIR Model Gap Analysis (legacy)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generators/generate_gap_analysis.cjs</w:t>
            </w:r>
            <w:r>
              <w:rPr>
                <w:sz w:val="19"/>
              </w:rPr>
              <w:t xml:space="preserve"> produces </w:t>
            </w:r>
            <w:r>
              <w:rPr>
                <w:rFonts w:ascii="Consolas" w:hAnsi="Consolas"/>
                <w:sz w:val="19"/>
              </w:rPr>
              <w:t>Phishield_FAIR_Model_Gap_Analysis.docx</w:t>
            </w:r>
            <w:r>
              <w:rPr>
                <w:sz w:val="19"/>
              </w:rPr>
              <w:t>. Pre-v10 artifact; check if still needed before next regeneration</w:t>
            </w:r>
          </w:p>
        </w:tc>
      </w:tr>
      <w:tr>
        <w:tc>
          <w:tcPr>
            <w:tcW w:type="dxa" w:w="498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Sensitivity analysis docs</w:t>
            </w:r>
          </w:p>
        </w:tc>
        <w:tc>
          <w:tcPr>
            <w:tcW w:type="dxa" w:w="498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tooling/sensitivity/sensitivity_analysis*.py</w:t>
            </w:r>
            <w:r>
              <w:rPr>
                <w:sz w:val="19"/>
              </w:rPr>
              <w:t xml:space="preserve"> + JSONs + </w:t>
            </w:r>
            <w:r>
              <w:rPr>
                <w:rFonts w:ascii="Consolas" w:hAnsi="Consolas"/>
                <w:sz w:val="19"/>
              </w:rPr>
              <w:t>generators/gen_sensitivity_doc.cjs</w:t>
            </w:r>
            <w:r>
              <w:rPr>
                <w:sz w:val="19"/>
              </w:rPr>
              <w:t>. Pre-v10 calibration analysis; verify relevance before next regeneration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Legacy gap analysis v6/v7/v8 docx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Archived at </w:t>
            </w:r>
            <w:r>
              <w:rPr>
                <w:rFonts w:ascii="Consolas" w:hAnsi="Consolas"/>
                <w:sz w:val="19"/>
              </w:rPr>
              <w:t>docs/archive/</w:t>
            </w:r>
            <w:r>
              <w:rPr>
                <w:sz w:val="19"/>
              </w:rPr>
              <w:t>. Kept for historical reference; not regenerated</w:t>
            </w:r>
          </w:p>
        </w:tc>
      </w:tr>
    </w:tbl>
    <w:p/>
    <w:p>
      <w:pPr>
        <w:spacing w:before="280" w:after="80"/>
      </w:pPr>
      <w:r>
        <w:rPr>
          <w:b/>
          <w:color w:val="0F2744"/>
          <w:sz w:val="28"/>
        </w:rPr>
        <w:t>8. Document quality rules (cross-project)</w:t>
      </w:r>
    </w:p>
    <w:p>
      <w:r>
        <w:t>Hard rules for all client-facing PDF / docx outputs live in</w:t>
      </w:r>
    </w:p>
    <w:p>
      <w:r>
        <w:rPr>
          <w:rFonts w:ascii="Consolas" w:hAnsi="Consolas"/>
          <w:sz w:val="18"/>
        </w:rPr>
        <w:t>C:\Users\sarel\.claude\projects\C--Users-sarel-Desktop-Sarel-Local-Only\memory\feedback_document_quality.md</w:t>
      </w:r>
      <w:r>
        <w:t>.</w:t>
      </w:r>
    </w:p>
    <w:p>
      <w:r>
        <w:t>Audit every output against the 12 rules before regeneration. Pre-build</w:t>
      </w:r>
    </w:p>
    <w:p>
      <w:r>
        <w:t>audit gate is rule #0.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How to use this file</w:t>
      </w:r>
    </w:p>
    <w:p>
      <w:pPr>
        <w:pStyle w:val="ListBullet"/>
      </w:pPr>
      <w:r>
        <w:t>Adding an outstanding item: append a row to the relevant section, note status / owner / target date</w:t>
      </w:r>
    </w:p>
    <w:p>
      <w:pPr>
        <w:pStyle w:val="ListBullet"/>
      </w:pPr>
      <w:r>
        <w:t>Closing an item: remove the row (don't strike through — keep the file tight)</w:t>
      </w:r>
    </w:p>
    <w:p>
      <w:pPr>
        <w:pStyle w:val="ListBullet"/>
      </w:pPr>
      <w:r>
        <w:t>Major architectural decisions: add a new section if a single line doesn't capture it</w:t>
      </w:r>
    </w:p>
    <w:p>
      <w:pPr>
        <w:pStyle w:val="ListBullet"/>
      </w:pPr>
      <w:r>
        <w:t>Periodic review: scan this file before any big planning session or commit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