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2.0</w:t>
      </w:r>
    </w:p>
    <w:p>
      <w:pPr>
        <w:jc w:val="center"/>
      </w:pPr>
      <w:r>
        <w:rPr>
          <w:sz w:val="22"/>
        </w:rPr>
        <w:t>July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(Google Cloud VM)</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DNS records, SSL certificates, HTTP headers, open ports, email authentication, credential leaks, dark-web exposure, and reputation data,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the Google Cloud VM,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Internet-wide port and service scanning data, vulnerability lookups</w:t>
      </w:r>
    </w:p>
    <w:p>
      <w:pPr>
        <w:pStyle w:val="ListParagraph"/>
        <w:widowControl/>
        <w:spacing w:after="40"/>
      </w:pPr>
      <w:r>
        <w:t>Have I Been Pwned (HIBP): Breach database for domain-level email exposure</w:t>
      </w:r>
    </w:p>
    <w:p>
      <w:pPr>
        <w:pStyle w:val="ListParagraph"/>
        <w:widowControl/>
        <w:spacing w:after="40"/>
      </w:pPr>
      <w:r>
        <w:t>Dehashed: Credential leak database with password hash and plaintext detection</w:t>
      </w:r>
    </w:p>
    <w:p>
      <w:pPr>
        <w:pStyle w:val="ListParagraph"/>
        <w:widowControl/>
        <w:spacing w:after="40"/>
      </w:pPr>
      <w:r>
        <w:t>VirusTotal: Malware, phishing, and reputation intelligence</w:t>
      </w:r>
    </w:p>
    <w:p>
      <w:pPr>
        <w:pStyle w:val="ListParagraph"/>
        <w:widowControl/>
        <w:spacing w:after="40"/>
      </w:pPr>
      <w:r>
        <w:t>SecurityTrails: Historical DNS records, domain ownership changes</w:t>
      </w:r>
    </w:p>
    <w:p>
      <w:pPr>
        <w:pStyle w:val="ListParagraph"/>
        <w:widowControl/>
        <w:spacing w:after="40"/>
      </w:pPr>
      <w:r>
        <w:t>IntelX (Intelligence X): Dark-web and paste-site exposure monitoring</w:t>
      </w:r>
    </w:p>
    <w:p>
      <w:pPr>
        <w:pStyle w:val="ListParagraph"/>
        <w:widowControl/>
        <w:spacing w:after="40"/>
      </w:pPr>
      <w:r>
        <w:t>OSV.dev / NVD: Open-source vulnerability database for CVE enrichment</w:t>
      </w:r>
    </w:p>
    <w:p>
      <w:pPr>
        <w:pStyle w:val="ListParagraph"/>
        <w:widowControl/>
        <w:spacing w:after="40"/>
      </w:pPr>
      <w:r>
        <w:t>HudsonRock: Infostealer malware credential compromise data</w:t>
      </w:r>
    </w:p>
    <w:p>
      <w:pPr>
        <w:pStyle w:val="ListParagraph"/>
        <w:widowControl/>
        <w:spacing w:after="40"/>
      </w:pPr>
      <w:r>
        <w:t>Certificate Transparency Logs: Subdomain enumeration via issued certificates</w:t>
      </w:r>
    </w:p>
    <w:p>
      <w:pPr>
        <w:pStyle w:val="ListParagraph"/>
        <w:widowControl/>
        <w:spacing w:after="40"/>
      </w:pPr>
      <w:r>
        <w:t>Multiple DNSBL providers: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https://veilguard.phishield.com/scanner/. This is the hosted version used by underwriters and brokers for day-to-day scanning. It runs on a dedicated Google Cloud VM with a persistent Postgres database, and is accessible from any internet-connected device.</w:t>
      </w:r>
    </w:p>
    <w:p>
      <w:pPr>
        <w:widowControl/>
        <w:spacing w:after="80"/>
      </w:pPr>
      <w:r>
        <w:rPr>
          <w:b/>
          <w:color w:val="003399"/>
        </w:rPr>
        <w:t xml:space="preserve">NOTE: </w:t>
      </w:r>
      <w:r>
        <w:t>The production instance runs continuously as a managed service on the Google Cloud VM, so it does not spin down and there is no first-request delay. Scan results are held in a persistent Postgres database and survive redeployments (the earlier Render free tier used an ephemeral disk that wiped stored scans on each deploy).</w:t>
      </w:r>
    </w:p>
    <w:p>
      <w:pPr>
        <w:keepNext/>
        <w:widowControl/>
        <w:spacing w:after="80"/>
      </w:pPr>
      <w:r>
        <w:rPr>
          <w:b/>
          <w:color w:val="008000"/>
        </w:rPr>
        <w:t xml:space="preserve">TIP: </w:t>
      </w:r>
      <w:r>
        <w:t>Bookmark the production URL for quick access.</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A spinning indicator shows that the checker is currently executing. Multiple checkers run concurrently during Phase 2a.</w:t>
      </w:r>
    </w:p>
    <w:p>
      <w:pPr>
        <w:pStyle w:val="ListParagraph"/>
        <w:widowControl/>
        <w:spacing w:after="40"/>
      </w:pPr>
      <w:r>
        <w:t>Done: A green tick indicates successful completion. The checker's score or grade appears next to its name.</w:t>
      </w:r>
    </w:p>
    <w:p>
      <w:pPr>
        <w:pStyle w:val="ListParagraph"/>
        <w:widowControl/>
        <w:spacing w:after="40"/>
      </w:pPr>
      <w:r>
        <w:t>Error: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to 1 000:  Score 100.  Among the most visited sites on the internet.</w:t>
      </w:r>
    </w:p>
    <w:p>
      <w:pPr>
        <w:pStyle w:val="ListParagraph"/>
        <w:widowControl/>
        <w:spacing w:after="40"/>
      </w:pPr>
      <w:r>
        <w:t>Rank 1 001 to 10 000:  Score 90.  High-traffic, well-known domain.</w:t>
      </w:r>
    </w:p>
    <w:p>
      <w:pPr>
        <w:pStyle w:val="ListParagraph"/>
        <w:widowControl/>
        <w:spacing w:after="40"/>
      </w:pPr>
      <w:r>
        <w:t>Rank 10 001 to 100 000:  Score 70.  Moderate traffic, established online presence.</w:t>
      </w:r>
    </w:p>
    <w:p>
      <w:pPr>
        <w:pStyle w:val="ListParagraph"/>
        <w:widowControl/>
        <w:spacing w:after="40"/>
      </w:pPr>
      <w:r>
        <w:t>Rank 100 001 to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 to 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 to 94):  Very good. One or two minor items may be missing (for example, OCSP stapling or CAA records) but overall configuration is strong.</w:t>
      </w:r>
    </w:p>
    <w:p>
      <w:pPr>
        <w:pStyle w:val="ListParagraph"/>
        <w:widowControl/>
        <w:spacing w:after="40"/>
      </w:pPr>
      <w:r>
        <w:t>Grade B (score 70 to 84):  Acceptable. The certificate is valid and modern TLS is supported, but there may be a deprecated TLS version still enabled or HSTS may be missing. Remediation is recommended.</w:t>
      </w:r>
    </w:p>
    <w:p>
      <w:pPr>
        <w:pStyle w:val="ListParagraph"/>
        <w:widowControl/>
        <w:spacing w:after="40"/>
      </w:pPr>
      <w:r>
        <w:t>Grade C (score 55 to 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 to 54):  Poor. Serious configuration weaknesses are present. This may include an expiring certificate combined with deprecated protocols and missing HSTS.</w:t>
      </w:r>
    </w:p>
    <w:p>
      <w:pPr>
        <w:pStyle w:val="ListParagraph"/>
        <w:widowControl/>
        <w:spacing w:after="40"/>
      </w:pPr>
      <w:r>
        <w:t>Grade F (score 0 to 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 to 100%) of the maximum achievable weight.</w:t>
      </w:r>
    </w:p>
    <w:p>
      <w:pPr>
        <w:widowControl/>
        <w:spacing w:after="80"/>
      </w:pPr>
      <w:r>
        <w:t>Headers evaluated and their weights:</w:t>
      </w:r>
    </w:p>
    <w:p>
      <w:pPr>
        <w:widowControl/>
        <w:spacing w:after="80"/>
      </w:pPr>
      <w:r>
        <w:rPr>
          <w:b/>
        </w:rPr>
        <w:t xml:space="preserve">Strict-Transport-Security (HSTS),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 to 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Allows inline scripts and event handlers. This effectively defeats XSS protection, because an attacker who can inject HTML can also inject inline script tags.</w:t>
      </w:r>
    </w:p>
    <w:p>
      <w:pPr>
        <w:pStyle w:val="ListParagraph"/>
        <w:widowControl/>
        <w:spacing w:after="40"/>
      </w:pPr>
      <w:r>
        <w:t>'unsafe-eval': Allows the use of eval(), new Function(), and similar dynamic code execution methods. Attackers frequently exploit these functions to execute injected payloads.</w:t>
      </w:r>
    </w:p>
    <w:p>
      <w:pPr>
        <w:pStyle w:val="ListParagraph"/>
        <w:widowControl/>
        <w:spacing w:after="40"/>
      </w:pPr>
      <w:r>
        <w:t>Wildcard (*) in script-src: Permits scripts from any domain. An attacker can host a malicious script on any server and it will be allowed by the policy.</w:t>
      </w:r>
    </w:p>
    <w:p>
      <w:pPr>
        <w:pStyle w:val="ListParagraph"/>
        <w:widowControl/>
        <w:spacing w:after="40"/>
      </w:pPr>
      <w:r>
        <w:t>data: URIs in script-src,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The fallback directive. If this is missing and a specific directive is also missing, the browser applies no restriction for that resource type.</w:t>
      </w:r>
    </w:p>
    <w:p>
      <w:pPr>
        <w:pStyle w:val="ListParagraph"/>
        <w:widowControl/>
        <w:spacing w:after="40"/>
      </w:pPr>
      <w:r>
        <w:t>script-src: Controls where JavaScript can be loaded from. This is the most important directive for preventing XSS.</w:t>
      </w:r>
    </w:p>
    <w:p>
      <w:pPr>
        <w:pStyle w:val="ListParagraph"/>
        <w:widowControl/>
        <w:spacing w:after="40"/>
      </w:pPr>
      <w:r>
        <w:t>frame-ancestors: Controls which sites can embed this page in a frame. This is the modern replacement for X-Frame-Options.</w:t>
      </w:r>
    </w:p>
    <w:p>
      <w:pPr>
        <w:pStyle w:val="ListParagraph"/>
        <w:widowControl/>
        <w:spacing w:after="40"/>
      </w:pPr>
      <w:r>
        <w:t>object-src: Controls where plugins (Flash, Java applets) can be loaded from. Setting this to 'none' blocks legacy plugin-based attacks.</w:t>
      </w:r>
    </w:p>
    <w:p>
      <w:pPr>
        <w:pStyle w:val="ListParagraph"/>
        <w:widowControl/>
        <w:spacing w:after="40"/>
      </w:pPr>
      <w:r>
        <w:t>base-uri: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 to 100) is divided by 10 to produce a 0 to 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for example, a WAF or CDN returns a 403 or 503 challenge/block page to the scanner's user agent,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Detected via cf-ray header, cf-cache-status header, and related cookies.</w:t>
      </w:r>
    </w:p>
    <w:p>
      <w:pPr>
        <w:pStyle w:val="ListParagraph"/>
        <w:widowControl/>
        <w:spacing w:after="40"/>
      </w:pPr>
      <w:r>
        <w:t>AWS WAF / CloudFront: Detected via x-amz-cf-id header, x-amzn-requestid header, and AWS load-balancer cookies.</w:t>
      </w:r>
    </w:p>
    <w:p>
      <w:pPr>
        <w:pStyle w:val="ListParagraph"/>
        <w:widowControl/>
        <w:spacing w:after="40"/>
      </w:pPr>
      <w:r>
        <w:t>Imperva / Incapsula: Detected via x-iinfo header, x-cdn header, and incapsula session cookies.</w:t>
      </w:r>
    </w:p>
    <w:p>
      <w:pPr>
        <w:pStyle w:val="ListParagraph"/>
        <w:widowControl/>
        <w:spacing w:after="40"/>
      </w:pPr>
      <w:r>
        <w:t>Akamai: Detected via x-akamai-transformed header and Akamai bot-management cookies.</w:t>
      </w:r>
    </w:p>
    <w:p>
      <w:pPr>
        <w:pStyle w:val="ListParagraph"/>
        <w:widowControl/>
        <w:spacing w:after="40"/>
      </w:pPr>
      <w:r>
        <w:t>Sucuri: Detected via x-sucuri-id and x-sucuri-cache headers.</w:t>
      </w:r>
    </w:p>
    <w:p>
      <w:pPr>
        <w:pStyle w:val="ListParagraph"/>
        <w:widowControl/>
        <w:spacing w:after="40"/>
      </w:pPr>
      <w:r>
        <w:t>F5 BIG-IP ASM,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qualifier score penalties are unchanged; the expected-loss remediation credit for hardening a soft-fail or neutral SPF was recalibrated on 5 June 2026 - trimmed about a quarter (keeping the email-authentication credits in a four-to-two-to-one ratio) because DMARC and SPF enforcement block only exact-domain spoofing, a minority of the phishing and business-email-compromise surface (the 2025 Verizon DBIR puts phishing at about 16 percent of breaches).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Monitor only. Failing messages are still delivered. This is a starting point for collecting data but provides no protection.</w:t>
      </w:r>
    </w:p>
    <w:p>
      <w:pPr>
        <w:pStyle w:val="ListParagraph"/>
        <w:widowControl/>
        <w:spacing w:after="40"/>
      </w:pPr>
      <w:r>
        <w:t>quarantine: Failing messages are sent to the recipient’s spam or junk folder. Provides moderate protection.</w:t>
      </w:r>
    </w:p>
    <w:p>
      <w:pPr>
        <w:pStyle w:val="ListParagraph"/>
        <w:widowControl/>
        <w:spacing w:after="40"/>
      </w:pPr>
      <w:r>
        <w:t>reject: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A search and analytics engine that often contains indexed copies of sensitive business data. Exposed Elasticsearch clusters are a leading cause of large-scale data leaks.</w:t>
      </w:r>
    </w:p>
    <w:p>
      <w:pPr>
        <w:pStyle w:val="ListParagraph"/>
        <w:widowControl/>
        <w:spacing w:after="40"/>
      </w:pPr>
      <w:r>
        <w:t>PostgreSQL (port 5432): A relational database that, if internet-facing, is subject to brute-force password attacks and exploitation of known vulnerabilities.</w:t>
      </w:r>
    </w:p>
    <w:p>
      <w:pPr>
        <w:pStyle w:val="ListParagraph"/>
        <w:widowControl/>
        <w:spacing w:after="40"/>
      </w:pPr>
      <w:r>
        <w:t>Microsoft SQL Server (port 1433):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A document-oriented database that exposes an HTTP API. Default configurations may allow unauthenticated read and write access to all databases.</w:t>
      </w:r>
    </w:p>
    <w:p>
      <w:pPr>
        <w:pStyle w:val="ListParagraph"/>
        <w:widowControl/>
        <w:spacing w:after="40"/>
      </w:pPr>
      <w:r>
        <w:t>MySQL (port 3306):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The CDN absorbs volumetric attacks that would overwhelm your origin server, maintaining availability during an attack.</w:t>
      </w:r>
    </w:p>
    <w:p>
      <w:pPr>
        <w:pStyle w:val="ListParagraph"/>
        <w:widowControl/>
        <w:spacing w:after="40"/>
      </w:pPr>
      <w:r>
        <w:t>Origin Masking: The CDN hides your actual server IP address, making it significantly harder for attackers to target your infrastructure directly.</w:t>
      </w:r>
    </w:p>
    <w:p>
      <w:pPr>
        <w:pStyle w:val="ListParagraph"/>
        <w:widowControl/>
        <w:spacing w:after="40"/>
      </w:pPr>
      <w:r>
        <w:t>Web Application Firewall (WAF): Many CDN providers include a WAF that filters common web attacks (SQL injection, cross-site scripting) before they reach your application.</w:t>
      </w:r>
    </w:p>
    <w:p>
      <w:pPr>
        <w:pStyle w:val="ListParagraph"/>
        <w:widowControl/>
        <w:spacing w:after="40"/>
      </w:pPr>
      <w:r>
        <w:t>Performance: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the ‘origin’,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this is a typical result for established businesses. The breach names, dates, and exposed data types are listed in the report.</w:t>
      </w:r>
    </w:p>
    <w:p>
      <w:pPr>
        <w:pStyle w:val="ListParagraph"/>
        <w:widowControl/>
        <w:spacing w:after="40"/>
      </w:pPr>
      <w:r>
        <w:t>Data classes exposed: Email addresses, Passwords, Names, Phone numbers, the more sensitive data classes present, the higher the risk to the organisation.</w:t>
      </w:r>
    </w:p>
    <w:p>
      <w:pPr>
        <w:pStyle w:val="ListParagraph"/>
        <w:widowControl/>
        <w:spacing w:after="40"/>
      </w:pPr>
      <w:r>
        <w:t>Most recent breach: 2024-01-15,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widowControl/>
        <w:spacing w:after="80"/>
      </w:pPr>
      <w:r>
        <w:rPr>
          <w:b/>
        </w:rPr>
        <w:t xml:space="preserve">Web-corroborated breach discovery (beyond HIBP): </w:t>
      </w:r>
      <w:r>
        <w:t>HIBP's breaches-by-domain catalogue only fires when a company is itself a named, catalogued victim, so it returns zero for the great majority of South African companies even when they have been breached (for example a 3.6-million-record retail-pharmacy breach that made national headlines but was never added to HIBP). To close that gap the scanner corroborates breach history from dated open-source intelligence: reputable news coverage (via Google News) and public ransomware leak-site listings. A deterministic gate keeps this precise, an item counts only when the company name AND a breach term both appear in the headline, so namesakes and generic security news are dropped.</w:t>
      </w:r>
    </w:p>
    <w:p>
      <w:pPr>
        <w:widowControl/>
        <w:spacing w:after="80"/>
      </w:pPr>
      <w:r>
        <w:t>The retrieved candidates are then judged by a large language model (Claude Sonnet 5), which confirms which describe a real breach of THIS specific company, clusters coverage of the same event into a single incident, extracts the date the breach actually occurred (not merely the article date), and grades each incident's confidence. The result is a dated breach timeline that HIBP alone cannot produce, this matters because a recent, confirmed breach materially changes cyber posture, whereas a decade-old one is largely historical.</w:t>
      </w:r>
    </w:p>
    <w:p>
      <w:pPr>
        <w:widowControl/>
        <w:spacing w:after="80"/>
      </w:pPr>
      <w:r>
        <w:rPr>
          <w:b/>
          <w:color w:val="003399"/>
        </w:rPr>
        <w:t xml:space="preserve">NOTE: </w:t>
      </w:r>
      <w:r>
        <w:t>Conservative by design, like the credential confidence column. A confirmed breach requires a ransomware leak-site listing or two or more independent reputable outlets; a single ambiguous mention is graded low-confidence and is surfaced as a monitoring signal, not asserted as a breach. If the language-model layer is unavailable, the check degrades gracefully to the deterministic verdict rather than failing.</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Spamhaus open-resolver / rate-limit codes in the 127.255.255.x range and the URIBL 127.0.0.1 query-refused code,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this is the most common single listing and indicates the IP has been flagged for spam or malware activity.</w:t>
      </w:r>
    </w:p>
    <w:p>
      <w:pPr>
        <w:pStyle w:val="ListParagraph"/>
        <w:widowControl/>
        <w:spacing w:after="40"/>
      </w:pPr>
      <w:r>
        <w:t>Listed on dnsbl-1.uceprotect.net: UCEProtect listings often indicate the IP sits on a range with a poor sending reputation or has been an open relay.</w:t>
      </w:r>
    </w:p>
    <w:p>
      <w:pPr>
        <w:pStyle w:val="ListParagraph"/>
        <w:widowControl/>
        <w:spacing w:after="40"/>
      </w:pPr>
      <w:r>
        <w:t>No listings found,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HTTP 200 (CRITICAL): The environment file is publicly readable. This typically exposes database host, username, password, API keys, and application secrets.</w:t>
      </w:r>
    </w:p>
    <w:p>
      <w:pPr>
        <w:pStyle w:val="ListParagraph"/>
        <w:widowControl/>
        <w:spacing w:after="40"/>
      </w:pPr>
      <w:r>
        <w:t>/wp-admin, HTTP 200: The WordPress administration panel is accessible from the public internet without IP restriction.</w:t>
      </w:r>
    </w:p>
    <w:p>
      <w:pPr>
        <w:pStyle w:val="ListParagraph"/>
        <w:widowControl/>
        <w:spacing w:after="40"/>
      </w:pPr>
      <w:r>
        <w:t>/server-status, HTTP 200 (MEDIUM): Apache mod_status is enabled, leaking active connections, client IPs, and request URLs.</w:t>
      </w:r>
    </w:p>
    <w:p>
      <w:pPr>
        <w:pStyle w:val="ListParagraph"/>
        <w:widowControl/>
        <w:spacing w:after="40"/>
      </w:pPr>
      <w:r>
        <w:t>/.git/HEAD,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is the PRIMARY source: it reveals every subdomain that has ever had a public certificate issued. The scanner queries TWO independent CT-log providers, crt.sh and certspotter, in parallel and merges (unions) their results, so a slow or failed response from one provider does not lose coverage.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and similar) appears as a distinct label; the apex itself and the ordinary www host are excluded from the risky count.</w:t>
      </w:r>
    </w:p>
    <w:p>
      <w:pPr>
        <w:widowControl/>
        <w:spacing w:after="80"/>
      </w:pPr>
      <w:r>
        <w:rPr>
          <w:b/>
        </w:rPr>
        <w:t xml:space="preserve">How it works: </w:t>
      </w:r>
      <w:r>
        <w:t>First, the scanner queries both CT-log providers (crt.sh and certspotter) in parallel and unions the subdomains they return. Certificate Transparency reveals subdomains the organisation may have forgotten about, such as old staging servers, decommissioned APIs, and test environments. Querying two providers matters because crt.sh in particular is prone to timeouts and rate-limiting under load; when it fails, certspotter still supplies CT coverage, so enumeration does not silently collapse to the brute-force list alone. If BOTH CT providers are unreachable on a given scan, the card is flagged low-coverage: the report states plainly that the external attack surface is likely under-reported, and that a fall in subdomain count versus a prior scan should be read as missing data rather than as the organisation having removed subdomains.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w:t>
      </w:r>
    </w:p>
    <w:p>
      <w:pPr>
        <w:widowControl/>
        <w:spacing w:after="80"/>
      </w:pPr>
      <w:r>
        <w:rPr>
          <w:b/>
        </w:rPr>
        <w:t xml:space="preserve">Phase 3,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endpoint unclaimed. An attacker can register this GitHub Pages repository and serve content on the subdomain.</w:t>
      </w:r>
    </w:p>
    <w:p>
      <w:pPr>
        <w:pStyle w:val="ListParagraph"/>
        <w:widowControl/>
        <w:spacing w:after="40"/>
      </w:pPr>
      <w:r>
        <w:t>vpn.example.com, owa.example.com,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remove the dangling CNAME record from DNS,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a medium-severity CVE with 80% EPSS is scored more harshly than a high-severity CVE with 1% EPSS. The Shodan checker is one of the highest-weighted components in the overall score calculation.</w:t>
      </w:r>
    </w:p>
    <w:p>
      <w:pPr>
        <w:widowControl/>
        <w:spacing w:after="80"/>
      </w:pPr>
      <w:r>
        <w:rPr>
          <w:b/>
          <w:color w:val="003399"/>
        </w:rPr>
        <w:t xml:space="preserve">NOTE: </w:t>
      </w:r>
      <w:r>
        <w:t>Version-confirmation gating. Where a CVE is inferred from an open port or a service template rather than from a confirmed software version, the scanner marks it as version-unconfirmed and the report presents it as a potential, unconfirmed finding. When a detected service banner names a different product than a templated CVE assumes (for example a Pure-FTPd banner on a port whose template lists ProFTPD vulnerabilities), that CVE is dropped rather than shown. The CISA KEV 'actively exploited' badge is displayed only for CVEs that survive this gating, so a well-defended host is not tagged with exploited-CVE warnings it does not actually carry.</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CVSS 9.8 (CRITICAL), CISA KEV: Yes, EPSS: 94.2%,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easily cracked) or strong (bcrypt, argon2, scrypt, SHA-256, SHA-512,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corporate addresses represent direct risk to the organisation.</w:t>
      </w:r>
    </w:p>
    <w:p>
      <w:pPr>
        <w:pStyle w:val="ListParagraph"/>
        <w:widowControl/>
        <w:spacing w:after="40"/>
      </w:pPr>
      <w:r>
        <w:t>Breach sources: Collection #1, LinkedIn 2012, Adobe, Exploit.in, Anti Public Combo List,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credentials are actively being sold on dark web markets. Immediate incident response required.</w:t>
      </w:r>
    </w:p>
    <w:p>
      <w:pPr>
        <w:pStyle w:val="ListParagraph"/>
        <w:widowControl/>
        <w:spacing w:after="40"/>
      </w:pPr>
      <w:r>
        <w:t>3 user account(s) compromised via infostealer, force password resets and enable MFA for affected accounts.</w:t>
      </w:r>
    </w:p>
    <w:p>
      <w:pPr>
        <w:pStyle w:val="ListParagraph"/>
        <w:widowControl/>
        <w:spacing w:after="40"/>
      </w:pPr>
      <w:r>
        <w:t>5 third-party exposure(s) detected, review supply chain partners and shared credential access.</w:t>
      </w:r>
    </w:p>
    <w:p>
      <w:pPr>
        <w:pStyle w:val="ListParagraph"/>
        <w:widowControl/>
        <w:spacing w:after="40"/>
      </w:pPr>
      <w:r>
        <w:t>No infostealer infections detected,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credentials or data may be actively traded on criminal forums.</w:t>
      </w:r>
    </w:p>
    <w:p>
      <w:pPr>
        <w:pStyle w:val="ListParagraph"/>
        <w:widowControl/>
        <w:spacing w:after="40"/>
      </w:pPr>
      <w:r>
        <w:t>8 paste site mention(s), data has been shared on public paste sites (Pastebin, etc.).</w:t>
      </w:r>
    </w:p>
    <w:p>
      <w:pPr>
        <w:pStyle w:val="ListParagraph"/>
        <w:widowControl/>
        <w:spacing w:after="40"/>
      </w:pPr>
      <w:r>
        <w:t>12 reference(s) found in dark web and leak databases,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Dehashed, HIBP, Hudson Rock, and IntelX,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the plaintext- and hashed-password subset from the Dehashed credential breakdown,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Active infostealer infection detected or credentials being actively traded on the dark web. Immediate incident response required: isolate devices, force all password resets, enable MFA, engage forensics. HIGH: Recent breach (2023+) with password exposure, or dark web mentions detected. Force password resets for identified accounts, enable MFA, implement continuous monitoring. MEDIUM: Historical credential exposure without active compromise indicators. Review affected accounts, enforce MFA, monitor for credential-stuffing attempts. LOW: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human-readable explanations of why the risk level was assigned (e.g., 'ACTIVE INFOSTEALER: 2 employee device(s) currently infected,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e.g., 'business', 'phishing', 'malware'), popularity_ranks (Alexa, Cisco Umbrella), and last_analysis_results (per-engine verdict details). The scanner extracts flagging engines, any engine that returned 'malicious' or 'suspicious',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the flagging engines are listed by name (e.g., Fortinet, Kaspersky, ESET) with their specific verdicts.</w:t>
      </w:r>
    </w:p>
    <w:p>
      <w:pPr>
        <w:pStyle w:val="ListParagraph"/>
        <w:widowControl/>
        <w:spacing w:after="40"/>
      </w:pPr>
      <w:r>
        <w:t>1 security engine(s) flagged this domain as suspicious, a single suspicious flag may be a false positive but warrants investigation.</w:t>
      </w:r>
    </w:p>
    <w:p>
      <w:pPr>
        <w:pStyle w:val="ListParagraph"/>
        <w:widowControl/>
        <w:spacing w:after="40"/>
      </w:pPr>
      <w:r>
        <w:t>Categories: Fortinet classifies the domain as 'phishing',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these are the highest-risk variants as they can serve convincing HTTPS phishing pages.</w:t>
      </w:r>
    </w:p>
    <w:p>
      <w:pPr>
        <w:pStyle w:val="ListParagraph"/>
        <w:widowControl/>
        <w:spacing w:after="40"/>
      </w:pPr>
      <w:r>
        <w:t>No lookalike domains resolving,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broker should review whether the unknown include is legitimate or a stale configuration artefact.</w:t>
      </w:r>
    </w:p>
    <w:p>
      <w:pPr>
        <w:keepNext/>
        <w:spacing w:before="200" w:after="60"/>
      </w:pPr>
      <w:r>
        <w:rPr>
          <w:b/>
          <w:color w:val="003366"/>
          <w:sz w:val="26"/>
        </w:rPr>
        <w:t>4.6.16  CMS Plugin Surface: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most reliably,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a point-in-time malware capture,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'is someone able to log in right now?',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Hudson Rock infostealer harvest (via credential_risk), S-4 SPF vendor surface, S-5 known-breach matches,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Interpreting Exposure Results</w:t>
      </w:r>
    </w:p>
    <w:p>
      <w:pPr>
        <w:widowControl/>
        <w:spacing w:after="80"/>
      </w:pPr>
      <w:r>
        <w:t>The seventeen checkers in this section work together to provide a 360-degree view of a domain's exposure and reputation profile,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refreshed against endoflife.date,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flagged as a risk factor. New domains lack reputation history and are disproportionately used in scam operations.</w:t>
      </w:r>
    </w:p>
    <w:p>
      <w:pPr>
        <w:pStyle w:val="ListParagraph"/>
        <w:widowControl/>
        <w:spacing w:after="40"/>
      </w:pPr>
      <w:r>
        <w:t>Domain age over 5 years, positive trust signal. Long-standing domains indicate business continuity and established operations.</w:t>
      </w:r>
    </w:p>
    <w:p>
      <w:pPr>
        <w:pStyle w:val="ListParagraph"/>
        <w:widowControl/>
        <w:spacing w:after="40"/>
      </w:pPr>
      <w:r>
        <w:t>Domain expiry within 90 days, warning flag. A domain that is about to expire may indicate neglected infrastructure or a business in decline.</w:t>
      </w:r>
    </w:p>
    <w:p>
      <w:pPr>
        <w:pStyle w:val="ListParagraph"/>
        <w:widowControl/>
        <w:spacing w:after="40"/>
      </w:pPr>
      <w:r>
        <w:t>WHOIS privacy enabled,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frequent changes to A records or NS records may indicate infrastructure instability or a recent migration.</w:t>
      </w:r>
    </w:p>
    <w:p>
      <w:pPr>
        <w:pStyle w:val="ListParagraph"/>
        <w:widowControl/>
        <w:spacing w:after="40"/>
      </w:pPr>
      <w:r>
        <w:t>MX record analysis, identifies the email provider (Google Workspace, Microsoft 365, self-hosted). Self-hosted mail servers require more operational security than managed providers.</w:t>
      </w:r>
    </w:p>
    <w:p>
      <w:pPr>
        <w:pStyle w:val="ListParagraph"/>
        <w:widowControl/>
        <w:spacing w:after="40"/>
      </w:pPr>
      <w:r>
        <w:t>NS record analysis,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Does the policy describe what personal information is collected and the lawful basis for processing?</w:t>
      </w:r>
    </w:p>
    <w:p>
      <w:pPr>
        <w:pStyle w:val="ListParagraph"/>
        <w:widowControl/>
        <w:spacing w:after="40"/>
      </w:pPr>
      <w:r>
        <w:t>Data retention: Does the policy state how long data is kept and the criteria used to determine retention periods?</w:t>
      </w:r>
    </w:p>
    <w:p>
      <w:pPr>
        <w:pStyle w:val="ListParagraph"/>
        <w:widowControl/>
        <w:spacing w:after="40"/>
      </w:pPr>
      <w:r>
        <w:t>Data subject rights: Does the policy inform individuals of their rights to access, correct, and delete their personal information?</w:t>
      </w:r>
    </w:p>
    <w:p>
      <w:pPr>
        <w:pStyle w:val="ListParagraph"/>
        <w:widowControl/>
        <w:spacing w:after="40"/>
      </w:pPr>
      <w:r>
        <w:t>Information officer: Does the policy name or reference an information officer or data protection officer, as required by POPIA Section 55?</w:t>
      </w:r>
    </w:p>
    <w:p>
      <w:pPr>
        <w:pStyle w:val="ListParagraph"/>
        <w:widowControl/>
        <w:spacing w:after="40"/>
      </w:pPr>
      <w:r>
        <w:t>Cross-border transfers: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If security.txt references a PGP encryption key, it shows the organisation can receive encrypted vulnerability reports, adding another layer of operational maturity.</w:t>
      </w:r>
    </w:p>
    <w:p>
      <w:pPr>
        <w:pStyle w:val="ListParagraph"/>
        <w:widowControl/>
        <w:spacing w:after="40"/>
      </w:pPr>
      <w:r>
        <w:t>robots.txt: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Encryption in Transit: TLS configuration and certificate validity (from the SSL checker). POPIA Section 19 requires appropriate technical measures to secure personal information.</w:t>
      </w:r>
    </w:p>
    <w:p>
      <w:pPr>
        <w:pStyle w:val="ListParagraph"/>
        <w:widowControl/>
        <w:spacing w:after="40"/>
      </w:pPr>
      <w:r>
        <w:t>S19b, Security Headers: HTTP security headers that prevent XSS, clickjacking, and MIME-type attacks.</w:t>
      </w:r>
    </w:p>
    <w:p>
      <w:pPr>
        <w:pStyle w:val="ListParagraph"/>
        <w:widowControl/>
        <w:spacing w:after="40"/>
      </w:pPr>
      <w:r>
        <w:t>S19c, Web Application Security: Secure website configuration and WAF protection.</w:t>
      </w:r>
    </w:p>
    <w:p>
      <w:pPr>
        <w:pStyle w:val="ListParagraph"/>
        <w:widowControl/>
        <w:spacing w:after="40"/>
      </w:pPr>
      <w:r>
        <w:t>S19d, Network Access Control: Restriction of remote access services (RDP, VPN) and closure of high-risk network ports.</w:t>
      </w:r>
    </w:p>
    <w:p>
      <w:pPr>
        <w:pStyle w:val="ListParagraph"/>
        <w:widowControl/>
        <w:spacing w:after="40"/>
      </w:pPr>
      <w:r>
        <w:t>S19e, Email Security: SPF, DMARC, and DKIM configuration to prevent phishing and email impersonation.</w:t>
      </w:r>
    </w:p>
    <w:p>
      <w:pPr>
        <w:pStyle w:val="ListParagraph"/>
        <w:widowControl/>
        <w:spacing w:after="40"/>
      </w:pPr>
      <w:r>
        <w:t>S20a, Privacy Policy: Published privacy policy covering all POPIA-required sections.</w:t>
      </w:r>
    </w:p>
    <w:p>
      <w:pPr>
        <w:pStyle w:val="ListParagraph"/>
        <w:widowControl/>
        <w:spacing w:after="40"/>
      </w:pPr>
      <w:r>
        <w:t>S20b, Data Minimisation: No unnecessary exposure of sensitive files or admin interfaces.</w:t>
      </w:r>
    </w:p>
    <w:p>
      <w:pPr>
        <w:pStyle w:val="ListParagraph"/>
        <w:widowControl/>
        <w:spacing w:after="40"/>
      </w:pPr>
      <w:r>
        <w:t>S21a, Software Currency: All software components actively maintained with no end-of-life versions.</w:t>
      </w:r>
    </w:p>
    <w:p>
      <w:pPr>
        <w:pStyle w:val="ListParagraph"/>
        <w:widowControl/>
        <w:spacing w:after="40"/>
      </w:pPr>
      <w:r>
        <w:t>S22a, Breach History: Historical data breach exposure and notification readiness.</w:t>
      </w:r>
    </w:p>
    <w:p>
      <w:pPr>
        <w:pStyle w:val="ListParagraph"/>
        <w:widowControl/>
        <w:spacing w:after="40"/>
      </w:pPr>
      <w:r>
        <w:t>S22b,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Default Credentials: Checks for exposed admin panels that may use default or guessable credentials.</w:t>
      </w:r>
    </w:p>
    <w:p>
      <w:pPr>
        <w:pStyle w:val="ListParagraph"/>
        <w:widowControl/>
        <w:spacing w:after="40"/>
      </w:pPr>
      <w:r>
        <w:t>Req 2b, System Hardening: Security headers and information disclosure controls.</w:t>
      </w:r>
    </w:p>
    <w:p>
      <w:pPr>
        <w:pStyle w:val="ListParagraph"/>
        <w:widowControl/>
        <w:spacing w:after="40"/>
      </w:pPr>
      <w:r>
        <w:t>Req 2c, Security Policies: Presence of documented security policies (security.txt).</w:t>
      </w:r>
    </w:p>
    <w:p>
      <w:pPr>
        <w:pStyle w:val="ListParagraph"/>
        <w:widowControl/>
        <w:spacing w:after="40"/>
      </w:pPr>
      <w:r>
        <w:t>Req 4a, TLS Configuration: Strong TLS encryption for cardholder data transmission.</w:t>
      </w:r>
    </w:p>
    <w:p>
      <w:pPr>
        <w:pStyle w:val="ListParagraph"/>
        <w:widowControl/>
        <w:spacing w:after="40"/>
      </w:pPr>
      <w:r>
        <w:t>Req 4b, HTTPS Enforcement: All endpoints handling sensitive data served exclusively over HTTPS.</w:t>
      </w:r>
    </w:p>
    <w:p>
      <w:pPr>
        <w:pStyle w:val="ListParagraph"/>
        <w:widowControl/>
        <w:spacing w:after="40"/>
      </w:pPr>
      <w:r>
        <w:t>Req 6a, Patch Management: Software versions current with no known vulnerabilities.</w:t>
      </w:r>
    </w:p>
    <w:p>
      <w:pPr>
        <w:pStyle w:val="ListParagraph"/>
        <w:widowControl/>
        <w:spacing w:after="40"/>
      </w:pPr>
      <w:r>
        <w:t>Req 6b, Secure Coding: Secure application headers and web application protection.</w:t>
      </w:r>
    </w:p>
    <w:p>
      <w:pPr>
        <w:pStyle w:val="ListParagraph"/>
        <w:widowControl/>
        <w:spacing w:after="40"/>
      </w:pPr>
      <w:r>
        <w:t>Req 8a, Payment Security: PCI-compliant payment processing (third-party vs. self-hosted).</w:t>
      </w:r>
    </w:p>
    <w:p>
      <w:pPr>
        <w:pStyle w:val="ListParagraph"/>
        <w:widowControl/>
        <w:spacing w:after="40"/>
      </w:pPr>
      <w:r>
        <w:t>Req 11a, Vulnerability Scanning: External vulnerability scan results from Shodan CVE analysis.</w:t>
      </w:r>
    </w:p>
    <w:p>
      <w:pPr>
        <w:pStyle w:val="ListParagraph"/>
        <w:widowControl/>
        <w:spacing w:after="40"/>
      </w:pPr>
      <w:r>
        <w:t>Req 11b,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Asset Inventory: Technology stack detection and external IP enumeration.</w:t>
      </w:r>
    </w:p>
    <w:p>
      <w:pPr>
        <w:pStyle w:val="ListParagraph"/>
        <w:widowControl/>
        <w:spacing w:after="40"/>
      </w:pPr>
      <w:r>
        <w:t>A.8b, Attack Surface: Subdomain discovery and attack surface mapping.</w:t>
      </w:r>
    </w:p>
    <w:p>
      <w:pPr>
        <w:pStyle w:val="ListParagraph"/>
        <w:widowControl/>
        <w:spacing w:after="40"/>
      </w:pPr>
      <w:r>
        <w:t>A.12a, Network Security: Open port analysis, DNS infrastructure, and service hardening.</w:t>
      </w:r>
    </w:p>
    <w:p>
      <w:pPr>
        <w:pStyle w:val="ListParagraph"/>
        <w:widowControl/>
        <w:spacing w:after="40"/>
      </w:pPr>
      <w:r>
        <w:t>A.12b, Remote Access: RDP, VPN, and remote access protocol security.</w:t>
      </w:r>
    </w:p>
    <w:p>
      <w:pPr>
        <w:pStyle w:val="ListParagraph"/>
        <w:widowControl/>
        <w:spacing w:after="40"/>
      </w:pPr>
      <w:r>
        <w:t>A.12c, Malware and Reputation: DNSBL blacklisting and VirusTotal malware detection.</w:t>
      </w:r>
    </w:p>
    <w:p>
      <w:pPr>
        <w:pStyle w:val="ListParagraph"/>
        <w:widowControl/>
        <w:spacing w:after="40"/>
      </w:pPr>
      <w:r>
        <w:t>A.12d, DDoS Resilience: WAF detection and CDN/cloud infrastructure.</w:t>
      </w:r>
    </w:p>
    <w:p>
      <w:pPr>
        <w:pStyle w:val="ListParagraph"/>
        <w:widowControl/>
        <w:spacing w:after="40"/>
      </w:pPr>
      <w:r>
        <w:t>A.14a, Encryption Standards: SSL/TLS configuration and certificate management.</w:t>
      </w:r>
    </w:p>
    <w:p>
      <w:pPr>
        <w:pStyle w:val="ListParagraph"/>
        <w:widowControl/>
        <w:spacing w:after="40"/>
      </w:pPr>
      <w:r>
        <w:t>A.14b, Application Security: HTTP security headers and web application hardening.</w:t>
      </w:r>
    </w:p>
    <w:p>
      <w:pPr>
        <w:pStyle w:val="ListParagraph"/>
        <w:widowControl/>
        <w:spacing w:after="40"/>
      </w:pPr>
      <w:r>
        <w:t>A.14c,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Govern,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GV.1 Security Policy: Documented cybersecurity governance (security.txt).</w:t>
      </w:r>
    </w:p>
    <w:p>
      <w:pPr>
        <w:pStyle w:val="ListParagraph"/>
        <w:widowControl/>
        <w:spacing w:after="40"/>
      </w:pPr>
      <w:r>
        <w:t>GOVERN, GV.2 Privacy Governance: Privacy policy and data protection compliance.</w:t>
      </w:r>
    </w:p>
    <w:p>
      <w:pPr>
        <w:pStyle w:val="ListParagraph"/>
        <w:widowControl/>
        <w:spacing w:after="40"/>
      </w:pPr>
      <w:r>
        <w:t>IDENTIFY, ID.1 Asset Discovery: Technology stack and external IP inventory.</w:t>
      </w:r>
    </w:p>
    <w:p>
      <w:pPr>
        <w:pStyle w:val="ListParagraph"/>
        <w:widowControl/>
        <w:spacing w:after="40"/>
      </w:pPr>
      <w:r>
        <w:t>IDENTIFY, ID.2 Attack Surface Mapping: Subdomain discovery and information disclosure.</w:t>
      </w:r>
    </w:p>
    <w:p>
      <w:pPr>
        <w:pStyle w:val="ListParagraph"/>
        <w:widowControl/>
        <w:spacing w:after="40"/>
      </w:pPr>
      <w:r>
        <w:t>PROTECT, PR.1 Encryption and TLS: Data-in-transit protection.</w:t>
      </w:r>
    </w:p>
    <w:p>
      <w:pPr>
        <w:pStyle w:val="ListParagraph"/>
        <w:widowControl/>
        <w:spacing w:after="40"/>
      </w:pPr>
      <w:r>
        <w:t>PROTECT, PR.2 Security Headers and Hardening: HTTP hardening and web application security.</w:t>
      </w:r>
    </w:p>
    <w:p>
      <w:pPr>
        <w:pStyle w:val="ListParagraph"/>
        <w:widowControl/>
        <w:spacing w:after="40"/>
      </w:pPr>
      <w:r>
        <w:t>PROTECT, PR.3 Perimeter Defence: WAF, firewall rules, and remote access controls.</w:t>
      </w:r>
    </w:p>
    <w:p>
      <w:pPr>
        <w:pStyle w:val="ListParagraph"/>
        <w:widowControl/>
        <w:spacing w:after="40"/>
      </w:pPr>
      <w:r>
        <w:t>PROTECT, PR.4 Email Authentication: SPF, DMARC, DKIM, and MTA-STS.</w:t>
      </w:r>
    </w:p>
    <w:p>
      <w:pPr>
        <w:pStyle w:val="ListParagraph"/>
        <w:widowControl/>
        <w:spacing w:after="40"/>
      </w:pPr>
      <w:r>
        <w:t>DETECT, DE.1 Vulnerability Detection: Shodan CVE analysis and version-based vulnerability scanning.</w:t>
      </w:r>
    </w:p>
    <w:p>
      <w:pPr>
        <w:pStyle w:val="ListParagraph"/>
        <w:widowControl/>
        <w:spacing w:after="40"/>
      </w:pPr>
      <w:r>
        <w:t>DETECT, DE.2 Threat Intelligence: VirusTotal, DNSBL, and exposed admin detection.</w:t>
      </w:r>
    </w:p>
    <w:p>
      <w:pPr>
        <w:pStyle w:val="ListParagraph"/>
        <w:widowControl/>
        <w:spacing w:after="40"/>
      </w:pPr>
      <w:r>
        <w:t>RESPOND, RS.1 Breach Response: Historical breach exposure and credential leak monitoring.</w:t>
      </w:r>
    </w:p>
    <w:p>
      <w:pPr>
        <w:pStyle w:val="ListParagraph"/>
        <w:widowControl/>
        <w:spacing w:after="40"/>
      </w:pPr>
      <w:r>
        <w:t>RESPOND, RS.2 Security Disclosure: Published vulnerability disclosure policy.</w:t>
      </w:r>
    </w:p>
    <w:p>
      <w:pPr>
        <w:pStyle w:val="ListParagraph"/>
        <w:widowControl/>
        <w:spacing w:after="40"/>
      </w:pPr>
      <w:r>
        <w:t>RECOVER, RC.1 Infrastructure Resilience: DNS redundancy and CDN availability.</w:t>
      </w:r>
    </w:p>
    <w:p>
      <w:pPr>
        <w:pStyle w:val="ListParagraph"/>
        <w:widowControl/>
        <w:spacing w:after="40"/>
      </w:pPr>
      <w:r>
        <w:t>RECOVER,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The control meets the expected standard based on external evidence.</w:t>
      </w:r>
    </w:p>
    <w:p>
      <w:pPr>
        <w:pStyle w:val="ListParagraph"/>
        <w:widowControl/>
        <w:spacing w:after="40"/>
      </w:pPr>
      <w:r>
        <w:t>PARTIAL (score 40 to 69): The control is partially implemented but has gaps.</w:t>
      </w:r>
    </w:p>
    <w:p>
      <w:pPr>
        <w:pStyle w:val="ListParagraph"/>
        <w:widowControl/>
        <w:spacing w:after="40"/>
      </w:pPr>
      <w:r>
        <w:t>FAIL (score below 40): The control is absent or critically deficient.</w:t>
      </w:r>
    </w:p>
    <w:p>
      <w:pPr>
        <w:pStyle w:val="ListParagraph"/>
        <w:widowControl/>
        <w:spacing w:after="40"/>
      </w:pPr>
      <w:r>
        <w:t>NO_DATA: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such as access management policies, backup procedures, or physical security,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they are not theoretical risks.</w:t>
      </w:r>
    </w:p>
    <w:p>
      <w:pPr>
        <w:widowControl/>
        <w:spacing w:after="80"/>
      </w:pPr>
      <w:r>
        <w:rPr>
          <w:b/>
        </w:rPr>
        <w:t xml:space="preserve">Priority 2,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 Because the IBM SA figure is an all-sizes AVERAGE (skewed upward by large-organisation breaches), that residual floor is tapered down for sub-large-cap entities - from about 30 percent of the modelled residual at R10 million of revenue, rising smoothly to the full residual by about R2 billion - so a smaller organisation's catastrophe is not over-stated by an average that does not fit its size. There is no cap: a small entity's modelled catastrophe can still exceed its annual revenue. The taper bounds are calibration parameters, configurable without redeployment.</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scaled by the enterprise capacity factor - but that factor is floored (at 0.80) for the POPIA and ECTA fixed-cap ceilings only, because a serious breach at even a small qualifying entity can attract most of those broadly-applicable statutory ceilings, so the fine is not discounted away by company size. The high discretionary sector ceilings (such as FSCA R100M and FIC R50M) keep scaling by the un-floored capacity factor, so a small qualifying entity is not modelled as facing most of a R100M sector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C3 distinguishes two outage regimes. A ransomware or breach REBUILD recovers gradually - revenue loss easing from roughly 90 percent on day one to about 10 percent by the end of recovery - which averages to 50 percent over the recovery period regardless of how long that period runs (a linear 90-to-10 curve averages 50 percent whether recovery takes 25 days or 80, so this figure does not drift as recovery times change). An ACUTE outage such as a denial-of-service attack is a different regime: while it is live the service is simply down, at near-full revenue loss throughout, with no gradual-recovery tail to average against. Acute events (denial-of-service and the short opportunistic, silent and extortion legs) therefore use a flat 85 percent daily impact, independent of the average recovery period, while the longer rebuilds retain the 50 percent recovery average. Corrected on 5 June 2026; previously a single flat 50 percent had under-counted short, sharp outages.</w:t>
      </w:r>
    </w:p>
    <w:p>
      <w:pPr>
        <w:pStyle w:val="ListParagraph"/>
        <w:widowControl/>
        <w:spacing w:after="40"/>
      </w:pPr>
      <w:r>
        <w:t>C4: Ransom/extortion, set at 10.40% of total breach magnitude, proportional to the IBM SA data decomposition. This component is only activated for ransomware-family incidents.</w:t>
      </w:r>
    </w:p>
    <w:p>
      <w:pPr>
        <w:pStyle w:val="ListParagraph"/>
        <w:widowControl/>
        <w:spacing w:after="40"/>
      </w:pPr>
      <w:r>
        <w:t>C5: Incident response,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while keeping memory use modest.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the peak of the loss distribution; the single most probable annual loss outcome.</w:t>
      </w:r>
    </w:p>
    <w:p>
      <w:pPr>
        <w:pStyle w:val="ListParagraph"/>
        <w:widowControl/>
        <w:spacing w:after="40"/>
      </w:pPr>
      <w:r>
        <w:t>Median (P50), half of all simulated outcomes fall below this figure. Reasonable anchor for premium-rating calculations.</w:t>
      </w:r>
    </w:p>
    <w:p>
      <w:pPr>
        <w:pStyle w:val="ListParagraph"/>
        <w:widowControl/>
        <w:spacing w:after="40"/>
      </w:pPr>
      <w:r>
        <w:t>Severe event (P99 severity),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the next severity tier, aligned with the FSCA SAM (Solvency Assessment and Management) regime's catastrophe benchmark; reported under the 1-in-200 cover tier.</w:t>
      </w:r>
    </w:p>
    <w:p>
      <w:pPr>
        <w:pStyle w:val="ListParagraph"/>
        <w:widowControl/>
        <w:spacing w:after="40"/>
      </w:pPr>
      <w:r>
        <w:t>Catastrophic event (P99.6 severity),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relative multi-channel posture band set: below 8% Low, 8 to 18% Typical, 18 to 28% Elevated, and above 28% High (re-fit from 5/15/30 on 5 June 2026 so a genuinely low-risk posture can reach Low). These are relative-posture bands: the combined breach-and-ransomware rate sits above the per-organisation material-incident claims frequency reported by cyber insurers (Coalition's 2025 study: 1.2 percent a year below 25 million dollars of revenue, rising to 5.7 percent above 100 million; Cyentia IRIS under 2 percent for small and medium business), because it aggregates both channels as an index. They should be read as relative posture rather than a calibrated annual claim rate; a dedicated frequency-calibration pass on the ransomware loss-event frequency is a recorded next step.</w:t>
      </w:r>
    </w:p>
    <w:p>
      <w:pPr>
        <w:widowControl/>
        <w:spacing w:after="80"/>
      </w:pPr>
      <w:r>
        <w:t>A third and separate line reports an availability resilience indicator. It spans outage and availability risk arising from both denial-of-service and system or infrastructure-failure causes. Its base rate is FAIR-anchored to the Uptime Institute's annual outage analysis (the serious-or-severe outage rate, roughly 3 percent a year), with additive increments for the availability-relevant control gaps: absence of a CDN or DDoS-mitigation service (the primary lever), single-homed hosting on one autonomous system (secondary), and absence of a web application firewall (a smaller, layer-7-flood-only contribution, since most volumetric denial-of-service is absorbed at the CDN edge rather than the firewall).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indicator's base rate is now FAIR-anchored to published outage-frequency data; the per-control increments remain directional and the JSON output still flags the figure as not fully calibrated. It describes availability risk and is not presented as a coverage statement.</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0.80 (floored) = R8M; ECTA R1M x 0.80 (floored) = R0.8M; CPA 10% x R200M = R20M (no factor - percentage already scales); FSCA R100M x 0.65 = R65M; FIC R50M x 0.65 = R32.5M; JSE R7.5M x 0.65 = R4.875M. Total cat stack: approximately R131.2M. The same entity at R10M revenue (capacity factor 0.15, with POPIA/ECTA still floored to 0.80 but the sector lines scaling at 0.15) would face approximately R33.4M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RSI reduction of 0.05 to 0.09 per step. Significant security improvements that should be addressed within 30 days. Examples: deploying a WAF, implementing DMARC, resetting leaked credentials.</w:t>
      </w:r>
    </w:p>
    <w:p>
      <w:pPr>
        <w:pStyle w:val="ListParagraph"/>
        <w:widowControl/>
        <w:spacing w:after="40"/>
      </w:pPr>
      <w:r>
        <w:t>P3 (Medium):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what an attacker can learn from publicly available information about the target, (2) Weaponisation, how discovered vulnerabilities and leaked credentials could be combined into an attack toolkit, (3) Delivery &amp; Exploitation, the most likely attack vectors such as phishing with leaked credentials, exploiting unpatched services, or abusing misconfigured email authentication, and (4) Impact,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branded cover with target domain, scan date, and overall risk score gauge.</w:t>
      </w:r>
    </w:p>
    <w:p>
      <w:pPr>
        <w:pStyle w:val="ListParagraph"/>
        <w:widowControl/>
        <w:spacing w:after="40"/>
      </w:pPr>
      <w:r>
        <w:t>Executive Summary, high-level risk posture with key metrics (overall score, critical issues, breach count, credential exposure, estimated financial impact range).</w:t>
      </w:r>
    </w:p>
    <w:p>
      <w:pPr>
        <w:pStyle w:val="ListParagraph"/>
        <w:widowControl/>
        <w:spacing w:after="40"/>
      </w:pPr>
      <w:r>
        <w:t>Vulnerability Posture, simplified severity breakdown focusing on critical and high-severity findings only, with plain-language explanations.</w:t>
      </w:r>
    </w:p>
    <w:p>
      <w:pPr>
        <w:pStyle w:val="ListParagraph"/>
        <w:widowControl/>
        <w:spacing w:after="40"/>
      </w:pPr>
      <w:r>
        <w:t>Attacker's View, abbreviated kill chain narrative highlighting the most impactful attack paths.</w:t>
      </w:r>
    </w:p>
    <w:p>
      <w:pPr>
        <w:pStyle w:val="ListParagraph"/>
        <w:widowControl/>
        <w:spacing w:after="40"/>
      </w:pPr>
      <w:r>
        <w:t>Financial Impact Summary, RSI score, DBI score, and hybrid-model estimated loss range presented in a broker-friendly format with clear rand-value ranges.</w:t>
      </w:r>
    </w:p>
    <w:p>
      <w:pPr>
        <w:pStyle w:val="ListParagraph"/>
        <w:widowControl/>
        <w:spacing w:after="40"/>
      </w:pPr>
      <w:r>
        <w:t>'Why This Matters' Section,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No issues found or the configuration meets best-practice standards. No action required.</w:t>
      </w:r>
    </w:p>
    <w:p>
      <w:pPr>
        <w:pStyle w:val="ListParagraph"/>
        <w:widowControl/>
        <w:spacing w:after="40"/>
      </w:pPr>
      <w:r>
        <w:t>Amber circle: Minor issues or partial implementation detected. Improvement is recommended but the risk is moderate.</w:t>
      </w:r>
    </w:p>
    <w:p>
      <w:pPr>
        <w:pStyle w:val="ListParagraph"/>
        <w:widowControl/>
        <w:spacing w:after="40"/>
      </w:pPr>
      <w:r>
        <w:t>Red circle: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contains the traffic-light indicator, the checker name, and a one-line summary of the finding (e.g., 'SPF record is valid but could be stricter').</w:t>
      </w:r>
    </w:p>
    <w:p>
      <w:pPr>
        <w:pStyle w:val="ListParagraph"/>
        <w:widowControl/>
        <w:spacing w:after="40"/>
      </w:pPr>
      <w:r>
        <w:t>Data Table,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a plain-language paragraph explaining the significance of the findings for a non-technical reader. This section answers the question: 'Why should I care?'</w:t>
      </w:r>
    </w:p>
    <w:p>
      <w:pPr>
        <w:pStyle w:val="ListParagraph"/>
        <w:widowControl/>
        <w:spacing w:after="40"/>
      </w:pPr>
      <w:r>
        <w:t>'Recommended Actions',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including the actual passwords,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counts only (number of exposed accounts, infected devices, services). No identifiers.</w:t>
      </w:r>
    </w:p>
    <w:p>
      <w:pPr>
        <w:pStyle w:val="ListParagraph"/>
        <w:widowControl/>
        <w:spacing w:after="40"/>
      </w:pPr>
      <w:r>
        <w:t>Broker Summary: 2-3 partially-masked example accounts / services plus summarised counts. No passwords.</w:t>
      </w:r>
    </w:p>
    <w:p>
      <w:pPr>
        <w:pStyle w:val="ListParagraph"/>
        <w:widowControl/>
        <w:spacing w:after="40"/>
      </w:pPr>
      <w:r>
        <w:t>Full Technical Report: enumerated, partially-masked accounts, a per-service summary, infection dates, and stealer families. No passwords.</w:t>
      </w:r>
    </w:p>
    <w:p>
      <w:pPr>
        <w:pStyle w:val="ListParagraph"/>
        <w:widowControl/>
        <w:spacing w:after="40"/>
      </w:pPr>
      <w:r>
        <w:t>Encrypted Credential Export (on request):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demonstrating the findings are real, while an outsider cannot reconstruct them.</w:t>
      </w:r>
    </w:p>
    <w:p>
      <w:pPr>
        <w:widowControl/>
        <w:spacing w:after="80"/>
      </w:pPr>
      <w:r>
        <w:rPr>
          <w:b/>
        </w:rPr>
        <w:t xml:space="preserve">Export file format,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or to justify any uplift to the probability of breach / RSI,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Confirm the client's SIGNED CONSENT has been obtained, then record the authorisation in the export portal: tick the consent attestation, enter the authorising user, and optionally a consent reference (for example the signed-form ID). This is the authorisation gate and the FAIS / POPIA audit trail: the scanner writes an audit record of who authorised the export, when, for which domain, and whether the one-time link was later collected. Retain the signed consent form itself in your own records.</w:t>
      </w:r>
    </w:p>
    <w:p>
      <w:pPr>
        <w:pStyle w:val="ListParagraph"/>
        <w:widowControl/>
        <w:spacing w:after="40"/>
      </w:pPr>
      <w:r>
        <w:t>2. Obtain the client's age PUBLIC key (the client generates it,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without it the file cannot be opened.</w:t>
      </w:r>
    </w:p>
    <w:p>
      <w:pPr>
        <w:widowControl/>
        <w:spacing w:after="80"/>
      </w:pPr>
      <w:r>
        <w:rPr>
          <w:b/>
        </w:rPr>
        <w:t xml:space="preserve">Client guide,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treat it like any breach dump. Decrypt only on a secure workstation, action the password resets and MFA enrolment, then securely delete the file. The scanner itself never stores passwords, and none of the rendered reports (deck, broker summary, full report) or the interactive dashboard ever contain passwords. Leaked account identifiers are masked at every output boundary (the API, the dashboard, and every PDF); only this consented, encrypted export carries the unmasked detail.</w:t>
      </w:r>
    </w:p>
    <w:p>
      <w:pPr>
        <w:widowControl/>
        <w:spacing w:after="80"/>
      </w:pPr>
      <w:r>
        <w:rPr>
          <w:b/>
          <w:color w:val="003399"/>
        </w:rPr>
        <w:t xml:space="preserve">NOTE: </w:t>
      </w:r>
      <w:r>
        <w:t>Why public-key (age) over a shared password: with age, only the client's private key, which never leaves them,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v2.0: July 2026</w:t>
      </w:r>
      <w:r>
        <w:t xml:space="preserve"> Major revision.</w:t>
      </w:r>
    </w:p>
    <w:p>
      <w:pPr>
        <w:widowControl/>
        <w:spacing w:after="80"/>
      </w:pPr>
      <w:r>
        <w:t>This release brings the manual current with the scanner development delivered since the v1.0 initial release. The changes are listed below with the date each landed.</w:t>
      </w:r>
    </w:p>
    <w:p>
      <w:pPr>
        <w:pStyle w:val="ListParagraph"/>
        <w:widowControl/>
        <w:spacing w:after="40"/>
      </w:pPr>
      <w:r>
        <w:t>2026-07-22: Web-corroborated breach discovery added to the breach-history checker (Section 4.6.1). Because HIBP's breaches-by-domain catalogue is thin, the scanner now corroborates breaches from dated open-source intelligence (reputable news and ransomware leak-site listings) behind a strict headline gate, and a large language model (Claude Sonnet 5) confirms real incidents, clusters coverage into distinct events, and dates each one, producing a breach timeline HIBP alone cannot. Conservative by design and degrades gracefully to a deterministic verdict when the model layer is unavailable.</w:t>
      </w:r>
    </w:p>
    <w:p>
      <w:pPr>
        <w:pStyle w:val="ListParagraph"/>
        <w:widowControl/>
        <w:spacing w:after="40"/>
      </w:pPr>
      <w:r>
        <w:t>2026-07-20: Sensitive-credential handling hardened end to end. Leaked account identifiers are now masked at every serving boundary (the API, the interactive dashboard, and every PDF), not only in the report tiers. The encrypted credential export (Section 6.4) was wired to its authorisation flow: a consent attestation plus the authorising user are required, the file is encrypted to the client's key and delivered strictly as a server-issued one-time link that expires and is deleted on first download, and every authorised export is written to an audit trail.</w:t>
      </w:r>
    </w:p>
    <w:p>
      <w:pPr>
        <w:pStyle w:val="ListParagraph"/>
        <w:widowControl/>
        <w:spacing w:after="40"/>
      </w:pPr>
      <w:r>
        <w:t>2026-07-06: Retired the legacy Render free-tier deployment; the Google Cloud VM is now the sole production instance. The scanner's public self-identification (User-Agent and scanner-info page) was updated to the VM and its single static outbound IP.</w:t>
      </w:r>
    </w:p>
    <w:p>
      <w:pPr>
        <w:pStyle w:val="ListParagraph"/>
        <w:widowControl/>
        <w:spacing w:after="40"/>
      </w:pPr>
      <w:r>
        <w:t>2026-07-03: Reconciled the manual against current scanner behaviour: dual-source Certificate Transparency subdomain enumeration (crt.sh and certspotter, with a low-coverage flag), CVE version-gating disclosure (CVEs shown as 'potential, unconfirmed' where the exact software version is not fingerprinted), and the production endpoint moved to the Google Cloud VM at veilguard.phishield.com/scanner. Includes a document-wide readability and punctuation pass.</w:t>
      </w:r>
    </w:p>
    <w:p>
      <w:pPr>
        <w:pStyle w:val="ListParagraph"/>
        <w:widowControl/>
        <w:spacing w:after="40"/>
      </w:pPr>
      <w:r>
        <w:t>2026-06-08: Catastrophe-model mid-market calibration: a revenue-band taper and a POPIA/ECTA-scoped regulatory fine floor, with cyber-band, SPF/DMARC and availability frequency and severity refinements.</w:t>
      </w:r>
    </w:p>
    <w:p>
      <w:pPr>
        <w:pStyle w:val="ListParagraph"/>
        <w:widowControl/>
        <w:spacing w:after="40"/>
      </w:pPr>
      <w:r>
        <w:t>2026-06-05: Catastrophe-model redesign and FAIR reporting-card pass, with email-security accuracy improvements.</w:t>
      </w:r>
    </w:p>
    <w:p>
      <w:pPr>
        <w:pStyle w:val="ListParagraph"/>
        <w:widowControl/>
        <w:spacing w:after="40"/>
      </w:pPr>
      <w:r>
        <w:t>2026-06-02: Credential-exposure correlation now counts password-bearing records specifically; the encrypted export gained recency clustering and leak-reference confidence; the manual was brought current with the Waves 1 to 6 behavioural changes.</w:t>
      </w:r>
    </w:p>
    <w:p>
      <w:pPr>
        <w:pStyle w:val="ListParagraph"/>
        <w:widowControl/>
        <w:spacing w:after="40"/>
      </w:pPr>
      <w:r>
        <w:t>2026-06-01: Added the sensitive-credential disclosure tiers and the encrypted credential export (Section 6.4).</w:t>
      </w:r>
    </w:p>
    <w:p>
      <w:pPr>
        <w:pStyle w:val="ListParagraph"/>
        <w:widowControl/>
        <w:spacing w:after="40"/>
      </w:pPr>
      <w:r>
        <w:t>2026-05-29: Documented RDP and origin-discovery handling, the B2C and PCI regulatory flags, and the P50 headline correction.</w:t>
      </w:r>
    </w:p>
    <w:p>
      <w:pPr>
        <w:pStyle w:val="ListParagraph"/>
        <w:widowControl/>
        <w:spacing w:after="40"/>
      </w:pPr>
      <w:r>
        <w:t>2026-05-28: Added the Hudson Rock, S-4 and S-5 cross-correlation, scoped as reporting-only so it does not double-count in scoring.</w:t>
      </w:r>
    </w:p>
    <w:p>
      <w:pPr>
        <w:pStyle w:val="ListParagraph"/>
        <w:widowControl/>
        <w:spacing w:after="40"/>
      </w:pPr>
      <w:r>
        <w:t>2026-05-27: Added the supply-chain checker layer (related domains, third-party JavaScript, exposed dependency manifests, email-vendor surface, vendor-breach correlation, and CMS plugin surface); removed the earlier catastrophe-tail double-count; folded in the Q&amp;A audit fixes.</w:t>
      </w:r>
    </w:p>
    <w:p>
      <w:pPr>
        <w:pStyle w:val="ListParagraph"/>
        <w:widowControl/>
        <w:spacing w:after="40"/>
      </w:pPr>
      <w:r>
        <w:t>2026-05-18: Documented the WAF partial-coverage adjustment.</w:t>
      </w:r>
    </w:p>
    <w:p>
      <w:pPr>
        <w:pStyle w:val="ListParagraph"/>
        <w:widowControl/>
        <w:spacing w:after="40"/>
      </w:pPr>
      <w:r>
        <w:t>2026-05-15: FAIR financial-impact overhaul: 1-in-50, 1-in-100 and 1-in-150 return-period worst-case views, the sector regulatory catastrophe stack, and FAIS-safe 'Loss Exposure Scenarios' disclosure. Added the records-based Cat Modelling Validity Notice, peer benchmarking with a 1.0 to 10.0 peer rating, the WAF-friendly HTTP architecture, and the auto-detect to broker to cat-stack input flow.</w:t>
      </w:r>
    </w:p>
    <w:p>
      <w:pPr>
        <w:pStyle w:val="ListParagraph"/>
        <w:widowControl/>
        <w:spacing w:after="40"/>
      </w:pPr>
      <w:r>
        <w:t>2026-04-20: Regenerated for the hybrid financial-impact model, sub-industry selection, and GDPR and PCI inputs.</w:t>
      </w:r>
    </w:p>
    <w:p>
      <w:pPr>
        <w:pStyle w:val="ListParagraph"/>
        <w:widowControl/>
        <w:spacing w:after="40"/>
      </w:pPr>
      <w:r>
        <w:t>2026-04-16: Hybrid financial-impact model engine rewrite.</w:t>
      </w:r>
    </w:p>
    <w:p>
      <w:pPr>
        <w:widowControl/>
        <w:spacing w:after="80"/>
      </w:pPr>
      <w:r>
        <w:rPr>
          <w:b/>
        </w:rPr>
        <w:t>v1.0: April 2026</w:t>
      </w:r>
      <w:r>
        <w:t xml:space="preserve"> 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