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2.0</w:t>
      </w:r>
    </w:p>
    <w:p>
      <w:pPr>
        <w:jc w:val="center"/>
      </w:pPr>
      <w:r>
        <w:rPr>
          <w:sz w:val="22"/>
        </w:rPr>
        <w:t>July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(Google Cloud VM)</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DNS records, SSL certificates, HTTP headers, open ports, email authentication, credential leaks, dark-web exposure, and reputation data,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the Google Cloud VM,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Internet-wide port and service scanning data, vulnerability lookups</w:t>
      </w:r>
    </w:p>
    <w:p>
      <w:pPr>
        <w:pStyle w:val="ListParagraph"/>
        <w:widowControl/>
        <w:spacing w:after="40"/>
      </w:pPr>
      <w:r>
        <w:t>Have I Been Pwned (HIBP): Breach database for domain-level email exposure</w:t>
      </w:r>
    </w:p>
    <w:p>
      <w:pPr>
        <w:pStyle w:val="ListParagraph"/>
        <w:widowControl/>
        <w:spacing w:after="40"/>
      </w:pPr>
      <w:r>
        <w:t>Dehashed: Credential leak database with password hash and plaintext detection</w:t>
      </w:r>
    </w:p>
    <w:p>
      <w:pPr>
        <w:pStyle w:val="ListParagraph"/>
        <w:widowControl/>
        <w:spacing w:after="40"/>
      </w:pPr>
      <w:r>
        <w:t>VirusTotal: Malware, phishing, and reputation intelligence</w:t>
      </w:r>
    </w:p>
    <w:p>
      <w:pPr>
        <w:pStyle w:val="ListParagraph"/>
        <w:widowControl/>
        <w:spacing w:after="40"/>
      </w:pPr>
      <w:r>
        <w:t>SecurityTrails: Historical DNS records, domain ownership changes</w:t>
      </w:r>
    </w:p>
    <w:p>
      <w:pPr>
        <w:pStyle w:val="ListParagraph"/>
        <w:widowControl/>
        <w:spacing w:after="40"/>
      </w:pPr>
      <w:r>
        <w:t>IntelX (Intelligence X): Dark-web and paste-site exposure monitoring</w:t>
      </w:r>
    </w:p>
    <w:p>
      <w:pPr>
        <w:pStyle w:val="ListParagraph"/>
        <w:widowControl/>
        <w:spacing w:after="40"/>
      </w:pPr>
      <w:r>
        <w:t>OSV.dev / NVD: Open-source vulnerability database for CVE enrichment</w:t>
      </w:r>
    </w:p>
    <w:p>
      <w:pPr>
        <w:pStyle w:val="ListParagraph"/>
        <w:widowControl/>
        <w:spacing w:after="40"/>
      </w:pPr>
      <w:r>
        <w:t>HudsonRock: Infostealer malware credential compromise data</w:t>
      </w:r>
    </w:p>
    <w:p>
      <w:pPr>
        <w:pStyle w:val="ListParagraph"/>
        <w:widowControl/>
        <w:spacing w:after="40"/>
      </w:pPr>
      <w:r>
        <w:t>Certificate Transparency Logs: Subdomain enumeration via issued certificates</w:t>
      </w:r>
    </w:p>
    <w:p>
      <w:pPr>
        <w:pStyle w:val="ListParagraph"/>
        <w:widowControl/>
        <w:spacing w:after="40"/>
      </w:pPr>
      <w:r>
        <w:t>Multiple DNSBL providers: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https://veilguard.phishield.com/scanner/. This is the hosted version used by underwriters and brokers for day-to-day scanning. It runs on a dedicated Google Cloud VM with a persistent Postgres database, and is accessible from any internet-connected device.</w:t>
      </w:r>
    </w:p>
    <w:p>
      <w:pPr>
        <w:widowControl/>
        <w:spacing w:after="80"/>
      </w:pPr>
      <w:r>
        <w:rPr>
          <w:b/>
          <w:color w:val="003399"/>
        </w:rPr>
        <w:t xml:space="preserve">NOTE: </w:t>
      </w:r>
      <w:r>
        <w:t>The production instance runs continuously as a managed service on the Google Cloud VM, so it does not spin down and there is no first-request delay. Scan results are held in a persistent Postgres database and survive redeployments (the earlier Render free tier used an ephemeral disk that wiped stored scans on each deploy).</w:t>
      </w:r>
    </w:p>
    <w:p>
      <w:pPr>
        <w:keepNext/>
        <w:widowControl/>
        <w:spacing w:after="80"/>
      </w:pPr>
      <w:r>
        <w:rPr>
          <w:b/>
          <w:color w:val="008000"/>
        </w:rPr>
        <w:t xml:space="preserve">TIP: </w:t>
      </w:r>
      <w:r>
        <w:t>Bookmark the production URL for quick access.</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A spinning indicator shows that the checker is currently executing. Multiple checkers run concurrently during Phase 2a.</w:t>
      </w:r>
    </w:p>
    <w:p>
      <w:pPr>
        <w:pStyle w:val="ListParagraph"/>
        <w:widowControl/>
        <w:spacing w:after="40"/>
      </w:pPr>
      <w:r>
        <w:t>Done: A green tick indicates successful completion. The checker's score or grade appears next to its name.</w:t>
      </w:r>
    </w:p>
    <w:p>
      <w:pPr>
        <w:pStyle w:val="ListParagraph"/>
        <w:widowControl/>
        <w:spacing w:after="40"/>
      </w:pPr>
      <w:r>
        <w:t>Error: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to 1 000:  Score 100.  Among the most visited sites on the internet.</w:t>
      </w:r>
    </w:p>
    <w:p>
      <w:pPr>
        <w:pStyle w:val="ListParagraph"/>
        <w:widowControl/>
        <w:spacing w:after="40"/>
      </w:pPr>
      <w:r>
        <w:t>Rank 1 001 to 10 000:  Score 90.  High-traffic, well-known domain.</w:t>
      </w:r>
    </w:p>
    <w:p>
      <w:pPr>
        <w:pStyle w:val="ListParagraph"/>
        <w:widowControl/>
        <w:spacing w:after="40"/>
      </w:pPr>
      <w:r>
        <w:t>Rank 10 001 to 100 000:  Score 70.  Moderate traffic, established online presence.</w:t>
      </w:r>
    </w:p>
    <w:p>
      <w:pPr>
        <w:pStyle w:val="ListParagraph"/>
        <w:widowControl/>
        <w:spacing w:after="40"/>
      </w:pPr>
      <w:r>
        <w:t>Rank 100 001 to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 to 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 to 94):  Very good. One or two minor items may be missing (for example, OCSP stapling or CAA records) but overall configuration is strong.</w:t>
      </w:r>
    </w:p>
    <w:p>
      <w:pPr>
        <w:pStyle w:val="ListParagraph"/>
        <w:widowControl/>
        <w:spacing w:after="40"/>
      </w:pPr>
      <w:r>
        <w:t>Grade B (score 70 to 84):  Acceptable. The certificate is valid and modern TLS is supported, but there may be a deprecated TLS version still enabled or HSTS may be missing. Remediation is recommended.</w:t>
      </w:r>
    </w:p>
    <w:p>
      <w:pPr>
        <w:pStyle w:val="ListParagraph"/>
        <w:widowControl/>
        <w:spacing w:after="40"/>
      </w:pPr>
      <w:r>
        <w:t>Grade C (score 55 to 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 to 54):  Poor. Serious configuration weaknesses are present. This may include an expiring certificate combined with deprecated protocols and missing HSTS.</w:t>
      </w:r>
    </w:p>
    <w:p>
      <w:pPr>
        <w:pStyle w:val="ListParagraph"/>
        <w:widowControl/>
        <w:spacing w:after="40"/>
      </w:pPr>
      <w:r>
        <w:t>Grade F (score 0 to 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 to 100%) of the maximum achievable weight.</w:t>
      </w:r>
    </w:p>
    <w:p>
      <w:pPr>
        <w:widowControl/>
        <w:spacing w:after="80"/>
      </w:pPr>
      <w:r>
        <w:t>Headers evaluated and their weights:</w:t>
      </w:r>
    </w:p>
    <w:p>
      <w:pPr>
        <w:widowControl/>
        <w:spacing w:after="80"/>
      </w:pPr>
      <w:r>
        <w:rPr>
          <w:b/>
        </w:rPr>
        <w:t xml:space="preserve">Strict-Transport-Security (HSTS),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 to 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Allows inline scripts and event handlers. This effectively defeats XSS protection, because an attacker who can inject HTML can also inject inline script tags.</w:t>
      </w:r>
    </w:p>
    <w:p>
      <w:pPr>
        <w:pStyle w:val="ListParagraph"/>
        <w:widowControl/>
        <w:spacing w:after="40"/>
      </w:pPr>
      <w:r>
        <w:t>'unsafe-eval': Allows the use of eval(), new Function(), and similar dynamic code execution methods. Attackers frequently exploit these functions to execute injected payloads.</w:t>
      </w:r>
    </w:p>
    <w:p>
      <w:pPr>
        <w:pStyle w:val="ListParagraph"/>
        <w:widowControl/>
        <w:spacing w:after="40"/>
      </w:pPr>
      <w:r>
        <w:t>Wildcard (*) in script-src: Permits scripts from any domain. An attacker can host a malicious script on any server and it will be allowed by the policy.</w:t>
      </w:r>
    </w:p>
    <w:p>
      <w:pPr>
        <w:pStyle w:val="ListParagraph"/>
        <w:widowControl/>
        <w:spacing w:after="40"/>
      </w:pPr>
      <w:r>
        <w:t>data: URIs in script-src,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The fallback directive. If this is missing and a specific directive is also missing, the browser applies no restriction for that resource type.</w:t>
      </w:r>
    </w:p>
    <w:p>
      <w:pPr>
        <w:pStyle w:val="ListParagraph"/>
        <w:widowControl/>
        <w:spacing w:after="40"/>
      </w:pPr>
      <w:r>
        <w:t>script-src: Controls where JavaScript can be loaded from. This is the most important directive for preventing XSS.</w:t>
      </w:r>
    </w:p>
    <w:p>
      <w:pPr>
        <w:pStyle w:val="ListParagraph"/>
        <w:widowControl/>
        <w:spacing w:after="40"/>
      </w:pPr>
      <w:r>
        <w:t>frame-ancestors: Controls which sites can embed this page in a frame. This is the modern replacement for X-Frame-Options.</w:t>
      </w:r>
    </w:p>
    <w:p>
      <w:pPr>
        <w:pStyle w:val="ListParagraph"/>
        <w:widowControl/>
        <w:spacing w:after="40"/>
      </w:pPr>
      <w:r>
        <w:t>object-src: Controls where plugins (Flash, Java applets) can be loaded from. Setting this to 'none' blocks legacy plugin-based attacks.</w:t>
      </w:r>
    </w:p>
    <w:p>
      <w:pPr>
        <w:pStyle w:val="ListParagraph"/>
        <w:widowControl/>
        <w:spacing w:after="40"/>
      </w:pPr>
      <w:r>
        <w:t>base-uri: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 to 100) is divided by 10 to produce a 0 to 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widowControl/>
        <w:spacing w:after="80"/>
      </w:pPr>
      <w:r>
        <w:rPr>
          <w:b/>
          <w:color w:val="003399"/>
        </w:rPr>
        <w:t xml:space="preserve">NOTE: </w:t>
      </w:r>
      <w:r>
        <w:t>Blocked or unreachable responses: if the final response to the scanner is not a success (2xx) status, for example, a WAF or CDN returns a 403 or 503 challenge/block page to the scanner's user agent, the headers on that block page do not represent the site's real configuration. In that case the check reports 'could not assess (blocked/unreachable)' and emits no header score, and scoring and remediation fall back to neutral, rather than recording every security header as missing. The renderers show this as an amber, non-penalising card.</w:t>
      </w:r>
    </w:p>
    <w:p>
      <w:pPr>
        <w:keepNext/>
        <w:spacing w:before="200" w:after="60"/>
      </w:pPr>
      <w:r>
        <w:rPr>
          <w:b/>
          <w:color w:val="003366"/>
          <w:sz w:val="26"/>
        </w:rPr>
        <w:t>4.2.3  WAF / DDoS Protection</w:t>
      </w:r>
    </w:p>
    <w:p>
      <w:pPr>
        <w:widowControl/>
        <w:spacing w:after="80"/>
      </w:pPr>
      <w:r>
        <w:rPr>
          <w:b/>
          <w:color w:val="003399"/>
        </w:rPr>
        <w:t xml:space="preserve">NOTE: </w:t>
      </w:r>
      <w:r>
        <w:t>Detected means a named VENDOR was fingerprinted from response headers, cookies or the Server token. Body-text matching is deliberately not used, because vendor names appearing incidentally in page content produced phantom positives. An unbranded or self-hosted blocking layer therefore fingerprints as nothing, which is not the same as being absent. Where the scan is actively refused but no vendor matches, the card reads "Blocking observed - vendor unidentified" at neutral severity: the no-WAF penalty is withheld because absence cannot be asserted, and the detected-WAF credit is withheld too because nothing was confirmed. A wall of refusals may equally be a bot manager, a CDN rule or plain authentication.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strictly on transport-layer evidence: HTTP response headers unique to the WAF vendor, cookies set by the WAF, and the Server header. Vendor strings appearing in the page body are deliberately NOT used as a signal, a page that merely mentions a vendor's name (for example in marketing copy) must not be reported as protected by that vendor's WAF.</w:t>
      </w:r>
    </w:p>
    <w:p>
      <w:pPr>
        <w:widowControl/>
        <w:spacing w:after="80"/>
      </w:pPr>
      <w:r>
        <w:t>The scanner recognises the following WAF and protection services:</w:t>
      </w:r>
    </w:p>
    <w:p>
      <w:pPr>
        <w:pStyle w:val="ListParagraph"/>
        <w:widowControl/>
        <w:spacing w:after="40"/>
      </w:pPr>
      <w:r>
        <w:t>Cloudflare: Detected via cf-ray header, cf-cache-status header, and related cookies.</w:t>
      </w:r>
    </w:p>
    <w:p>
      <w:pPr>
        <w:pStyle w:val="ListParagraph"/>
        <w:widowControl/>
        <w:spacing w:after="40"/>
      </w:pPr>
      <w:r>
        <w:t>AWS WAF / CloudFront: Detected via x-amz-cf-id header, x-amzn-requestid header, and AWS load-balancer cookies.</w:t>
      </w:r>
    </w:p>
    <w:p>
      <w:pPr>
        <w:pStyle w:val="ListParagraph"/>
        <w:widowControl/>
        <w:spacing w:after="40"/>
      </w:pPr>
      <w:r>
        <w:t>Imperva / Incapsula: Detected via x-iinfo header, x-cdn header, and incapsula session cookies.</w:t>
      </w:r>
    </w:p>
    <w:p>
      <w:pPr>
        <w:pStyle w:val="ListParagraph"/>
        <w:widowControl/>
        <w:spacing w:after="40"/>
      </w:pPr>
      <w:r>
        <w:t>Akamai: Detected via x-akamai-transformed header and Akamai bot-management cookies.</w:t>
      </w:r>
    </w:p>
    <w:p>
      <w:pPr>
        <w:pStyle w:val="ListParagraph"/>
        <w:widowControl/>
        <w:spacing w:after="40"/>
      </w:pPr>
      <w:r>
        <w:t>Sucuri: Detected via x-sucuri-id and x-sucuri-cache headers.</w:t>
      </w:r>
    </w:p>
    <w:p>
      <w:pPr>
        <w:pStyle w:val="ListParagraph"/>
        <w:widowControl/>
        <w:spacing w:after="40"/>
      </w:pPr>
      <w:r>
        <w:t>F5 BIG-IP ASM, Detected only via genuine F5 markers: the x-wa-info header, BIG-IP / TS01 / F5 session cookies, or a Server: BIG-IP header. The ubiquitous x-frame-options header is NOT treated as an F5 signal, as almost any hardened site sets it.</w:t>
      </w:r>
    </w:p>
    <w:p>
      <w:pPr>
        <w:pStyle w:val="ListParagraph"/>
        <w:widowControl/>
        <w:spacing w:after="40"/>
      </w:pPr>
      <w:r>
        <w:t>Barracuda: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pStyle w:val="ListParagraph"/>
        <w:widowControl/>
        <w:spacing w:after="40"/>
      </w:pPr>
      <w:r>
        <w:t>The scanner scores the SPF qualifier, not merely the record's presence. A terminal -all (fail) is the secure target; ~all (soft-fail) and ?all (neutral) do not instruct receivers to reject spoofed mail (RFC 7208; NIST SP 800-177 Trustworthy Email; M3AAWG). Because a DMARC policy of quarantine or reject governs the disposition of failing mail regardless of the SPF qualifier, the soft-qualifier penalty is applied only when DMARC is not at enforcement - so a deliberate ~all paired with an enforcing DMARC policy, a common and valid configuration for large senders, is not penalised. A bare all is treated as +all (Pass) per RFC 7208. The qualifier score penalties are unchanged; the expected-loss remediation credit for hardening a soft-fail or neutral SPF was recalibrated on 5 June 2026 - trimmed about a quarter (keeping the email-authentication credits in a four-to-two-to-one ratio) because DMARC and SPF enforcement block only exact-domain spoofing, a minority of the phishing and business-email-compromise surface (the 2025 Verizon DBIR puts phishing at about 16 percent of breaches). Where a non-enforcing soft-fail or neutral SPF is found, the report's remediation recommends hardening the policy to a terminal -all and includes it in the expected-loss mitigation estimate.</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 A selector is only counted as a real DKIM record when its TXT value actually contains a DKIM key, that is, a v=DKIM1 tag or a p= public-key tag. A selector name that merely resolves (for example, because the domain uses a DNS wildcard) but carries no key is ignored, so a wildcard cannot inflate the DKIM result with non-existent selectors.</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Monitor only. Failing messages are still delivered. This is a starting point for collecting data but provides no protection.</w:t>
      </w:r>
    </w:p>
    <w:p>
      <w:pPr>
        <w:pStyle w:val="ListParagraph"/>
        <w:widowControl/>
        <w:spacing w:after="40"/>
      </w:pPr>
      <w:r>
        <w:t>quarantine: Failing messages are sent to the recipient’s spam or junk folder. Provides moderate protection.</w:t>
      </w:r>
    </w:p>
    <w:p>
      <w:pPr>
        <w:pStyle w:val="ListParagraph"/>
        <w:widowControl/>
        <w:spacing w:after="40"/>
      </w:pPr>
      <w:r>
        <w:t>reject: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 The scanner scores a 'none' policy as non-enforcing and includes moving it to quarantine or reject in the expected-loss remediation estimate.</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 When a domain resolves to (or has) more than one IP address, each exposed port is attributed in the report to the specific IP it was actually found on, so, for example, an open FTP port on a real origin server is shown against that origin's address rather than against the CDN edge address the domain name points to.</w:t>
      </w:r>
    </w:p>
    <w:p>
      <w:pPr>
        <w:widowControl/>
        <w:spacing w:after="80"/>
      </w:pPr>
      <w:r>
        <w:rPr>
          <w:b/>
        </w:rPr>
        <w:t xml:space="preserve">DNS Records Surfaced: </w:t>
      </w:r>
      <w:r>
        <w:t>Alongside the port findings, the card surfaces the domain's core DNS posture: whether the zone is DNSSEC-signed (a DNSKEY present at the apex), whether AAAA (IPv6) records are published, and the domain's TXT records. DNSSEC status is shown explicitly so that a DNSSEC-related recommendation is always backed by a visible status in the same card.</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A search and analytics engine that often contains indexed copies of sensitive business data. Exposed Elasticsearch clusters are a leading cause of large-scale data leaks.</w:t>
      </w:r>
    </w:p>
    <w:p>
      <w:pPr>
        <w:pStyle w:val="ListParagraph"/>
        <w:widowControl/>
        <w:spacing w:after="40"/>
      </w:pPr>
      <w:r>
        <w:t>PostgreSQL (port 5432): A relational database that, if internet-facing, is subject to brute-force password attacks and exploitation of known vulnerabilities.</w:t>
      </w:r>
    </w:p>
    <w:p>
      <w:pPr>
        <w:pStyle w:val="ListParagraph"/>
        <w:widowControl/>
        <w:spacing w:after="40"/>
      </w:pPr>
      <w:r>
        <w:t>Microsoft SQL Server (port 1433):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A document-oriented database that exposes an HTTP API. Default configurations may allow unauthenticated read and write access to all databases.</w:t>
      </w:r>
    </w:p>
    <w:p>
      <w:pPr>
        <w:pStyle w:val="ListParagraph"/>
        <w:widowControl/>
        <w:spacing w:after="40"/>
      </w:pPr>
      <w:r>
        <w:t>MySQL (port 3306):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The CDN absorbs volumetric attacks that would overwhelm your origin server, maintaining availability during an attack.</w:t>
      </w:r>
    </w:p>
    <w:p>
      <w:pPr>
        <w:pStyle w:val="ListParagraph"/>
        <w:widowControl/>
        <w:spacing w:after="40"/>
      </w:pPr>
      <w:r>
        <w:t>Origin Masking: The CDN hides your actual server IP address, making it significantly harder for attackers to target your infrastructure directly.</w:t>
      </w:r>
    </w:p>
    <w:p>
      <w:pPr>
        <w:pStyle w:val="ListParagraph"/>
        <w:widowControl/>
        <w:spacing w:after="40"/>
      </w:pPr>
      <w:r>
        <w:t>Web Application Firewall (WAF): Many CDN providers include a WAF that filters common web attacks (SQL injection, cross-site scripting) before they reach your application.</w:t>
      </w:r>
    </w:p>
    <w:p>
      <w:pPr>
        <w:pStyle w:val="ListParagraph"/>
        <w:widowControl/>
        <w:spacing w:after="40"/>
      </w:pPr>
      <w:r>
        <w:t>Performance: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 To avoid false positives, a vendor is only matched when a genuine vendor marker is returned over an HTTP 200 response that also passes a body-sanity check, a loose substring appearing in any response (such as a CDN challenge page or single-page-app shell) is not sufficient. This gate is applied uniformly to all of the supported gateways, including Microsoft RDS Web, which additionally requires genuine RDWeb tokens.</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the ‘origin’,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color w:val="003399"/>
        </w:rPr>
        <w:t xml:space="preserve">NOTE: </w:t>
      </w:r>
      <w:r>
        <w:t>HIBP is a supplementary source, not the primary one. Its breach API requires a paid key, and for most South African domains it returns nothing even when a breach is a matter of public record. The researched breach-history checker (section 4.6.2) is the authority for whether an organisation has been breached. Two consequences follow. Without an API key this card reports NOT ASSESSED rather than zero breaches - it cannot have looked. And a missing HIBP key does NOT by itself make the breach picture unknown: if the research reached a verdict, including a verdict of no breach found, that verdict stands and is scored on its own merits.</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this is a typical result for established businesses. The breach names, dates, and exposed data types are listed in the report.</w:t>
      </w:r>
    </w:p>
    <w:p>
      <w:pPr>
        <w:pStyle w:val="ListParagraph"/>
        <w:widowControl/>
        <w:spacing w:after="40"/>
      </w:pPr>
      <w:r>
        <w:t>Data classes exposed: Email addresses, Passwords, Names, Phone numbers, the more sensitive data classes present, the higher the risk to the organisation.</w:t>
      </w:r>
    </w:p>
    <w:p>
      <w:pPr>
        <w:pStyle w:val="ListParagraph"/>
        <w:widowControl/>
        <w:spacing w:after="40"/>
      </w:pPr>
      <w:r>
        <w:t>Most recent breach: 2024-01-15,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widowControl/>
        <w:spacing w:after="80"/>
      </w:pPr>
      <w:r>
        <w:rPr>
          <w:b/>
        </w:rPr>
        <w:t xml:space="preserve">Web-corroborated breach discovery (beyond HIBP): </w:t>
      </w:r>
      <w:r>
        <w:t>HIBP's breaches-by-domain catalogue only fires when a company is itself a named, catalogued victim, so it returns zero for the great majority of South African companies even when they have been breached (for example a 3.6-million-record retail-pharmacy breach that made national headlines but was never added to HIBP). To close that gap the scanner corroborates breach history from dated open-source intelligence: reputable news coverage (via Google News) and public ransomware leak-site listings. A deterministic gate keeps this precise, an item counts only when the company name AND a breach term both appear in the headline, so namesakes and generic security news are dropped.</w:t>
      </w:r>
    </w:p>
    <w:p>
      <w:pPr>
        <w:widowControl/>
        <w:spacing w:after="80"/>
      </w:pPr>
      <w:r>
        <w:t>The question is then RESEARCHED rather than merely matched. The scanner runs a deep, multi-provider answer engine: the query is fanned out across several independent search providers in parallel, the results are fused and ranked, the highest-ranked source pages are actually fetched and read, the engine reasons about what is still missing and searches again, and a language model then synthesises an answer with inline citations to the real sources. A second model pass renders that answer into structured incidents.</w:t>
      </w:r>
    </w:p>
    <w:p>
      <w:pPr>
        <w:widowControl/>
        <w:spacing w:after="80"/>
      </w:pPr>
      <w:r>
        <w:t>Because the engine reads the sources rather than only their headlines, it recovers detail a headline scrape cannot: the date the breach actually OCCURRED (as distinct from the date it was first reported), the number of records affected, the root cause, and any regulatory action. In the Dis-Chem example the engine returns an incident date of approximately 28 April 2022 with 3.68 million records affected, attributes the compromise to a third-party e-statement provider accessed by brute force, and cites the Information Regulator's own enforcement notice, where the first press article is dated 11 May 2022 and states none of that. This distinction matters commercially: a recent, confirmed breach materially changes cyber posture, whereas a decade-old one is largely historical, and a third-party root cause is a supply-chain signal rather than a failure of the insured's own controls.</w:t>
      </w:r>
    </w:p>
    <w:p>
      <w:pPr>
        <w:widowControl/>
        <w:spacing w:after="80"/>
      </w:pPr>
      <w:r>
        <w:rPr>
          <w:b/>
          <w:color w:val="003399"/>
        </w:rPr>
        <w:t xml:space="preserve">NOTE: </w:t>
      </w:r>
      <w:r>
        <w:t>Conservative by design, like the credential confidence column. A confirmed breach requires a ransomware leak-site listing or two or more independent reputable outlets; a single ambiguous mention is graded low-confidence and is surfaced as a monitoring signal, not asserted as a breach. A leak-site listing is direct evidence of compromise and floors the verdict at confirmed. If the research layer is unavailable, the check degrades gracefully to the deterministic verdict rather than failing, and records which layer produced the result so a thin answer is never mistaken for a clean one.</w:t>
      </w:r>
    </w:p>
    <w:p>
      <w:pPr>
        <w:widowControl/>
        <w:spacing w:after="80"/>
      </w:pPr>
      <w:r>
        <w:rPr>
          <w:b/>
        </w:rPr>
        <w:t xml:space="preserve">How a researched breach affects the score: </w:t>
      </w:r>
      <w:r>
        <w:t>Breach history is scored on RECENCY rather than on how many breaches are listed. A single incident last quarter says far more about present-day posture than several a decade ago, and the older count-based treatment said the opposite. The researched result supersedes the HIBP count in the same breach-history slot at the same weight, so nothing is double-counted and HIBP is retained as a floor. An incident within the last year carries the full weighting, tapering through roughly the three-year mark and falling away beyond five years, on the reasoning that staff, infrastructure and controls turn over. A single-source result carries about seventy percent of a corroborated one.</w:t>
      </w:r>
    </w:p>
    <w:p>
      <w:pPr>
        <w:widowControl/>
        <w:spacing w:after="80"/>
      </w:pPr>
      <w:r>
        <w:t>The same dated result also drives the breach-recency component of the Data Breach Resilience index, which previously depended on a HIBP date that is absent for almost every South African domain, and it adds a repeat-victimisation factor to the Ransomware Susceptibility Index. That factor is weighted by quarter through the first year, because the recovery window is itself the period of elevated risk: an insured still rebuilding systems, rotating credentials and running incident response is at its most exposed, and that exposure eases as remediation lands. It falls away entirely beyond three years.</w:t>
      </w:r>
    </w:p>
    <w:p>
      <w:pPr>
        <w:widowControl/>
        <w:spacing w:after="80"/>
      </w:pPr>
      <w:r>
        <w:rPr>
          <w:b/>
          <w:color w:val="B40000"/>
        </w:rPr>
        <w:t xml:space="preserve">WARNING: </w:t>
      </w:r>
      <w:r>
        <w:t>If the research cannot run, the breach history is reported as UNASSESSED and contributes nothing to the score. It is never reported as clean. An absence of evidence produced by an outage is not evidence of absence, and the distinction is visible on both the scan form and the report.</w:t>
      </w:r>
    </w:p>
    <w:p>
      <w:pPr>
        <w:widowControl/>
        <w:spacing w:after="80"/>
      </w:pPr>
      <w:r>
        <w:rPr>
          <w:b/>
        </w:rPr>
        <w:t xml:space="preserve">Where it appears in the outputs: </w:t>
      </w:r>
      <w:r>
        <w:t>The full technical report opens the Exposure and Reputation section with a Breach History card carrying the verdict, the date of the most recent incident and how long ago it was, each dated incident with the records affected and root cause where the sources state them, and the sources cited. The interactive dashboard carries the same panel at the top of the Exposure page. Where the research could not run, both render the unassessed state with an explicit caveat rather than a clean result, so the distinction survives into the client-facing document.</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four major blacklists: Spamhaus ZEN (zen.spamhaus.org), SpamCop (bl.spamcop.net), Barracuda (b.barracudacentral.org), and UCEProtect (dnsbl-1.uceprotect.net). For domain-based checks, it queries Spamhaus DBL (dbl.spamhaus.org) and URIBL (uribl.com). A bare DNS resolution is not by itself treated as a listing: the scanner validates each reply against the list's documented return codes and only counts a genuine listing code (typically 127.0.0.2 and above). Error, blocked, and refused replies, Spamhaus open-resolver / rate-limit codes in the 127.255.255.x range and the URIBL 127.0.0.1 query-refused code, are explicitly rejected, so an infrastructure response is never mistaken for a blacklisting.</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this is the most common single listing and indicates the IP has been flagged for spam or malware activity.</w:t>
      </w:r>
    </w:p>
    <w:p>
      <w:pPr>
        <w:pStyle w:val="ListParagraph"/>
        <w:widowControl/>
        <w:spacing w:after="40"/>
      </w:pPr>
      <w:r>
        <w:t>Listed on dnsbl-1.uceprotect.net: UCEProtect listings often indicate the IP sits on a range with a poor sending reputation or has been an open relay.</w:t>
      </w:r>
    </w:p>
    <w:p>
      <w:pPr>
        <w:pStyle w:val="ListParagraph"/>
        <w:widowControl/>
        <w:spacing w:after="40"/>
      </w:pPr>
      <w:r>
        <w:t>No listings found,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Only an HTTP 200 response that also passes a body-sanity check counts as an exposure, confirming the path is directly accessible and is serving real content rather than a generic landing or error page. HTTP 401 and 403 responses are treated as PROTECTED (access-controlled) and are NOT counted as findings: a server that returns 403 on /.env or /wp-admin is enforcing access control, which is the desired posture. This 200-only, body-checked approach mirrors the dependency-manifest probe and prevents WAF/CDN-defended sites from being penalised for blocking the probe.</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HTTP 200 (CRITICAL): The environment file is publicly readable. This typically exposes database host, username, password, API keys, and application secrets.</w:t>
      </w:r>
    </w:p>
    <w:p>
      <w:pPr>
        <w:pStyle w:val="ListParagraph"/>
        <w:widowControl/>
        <w:spacing w:after="40"/>
      </w:pPr>
      <w:r>
        <w:t>/wp-admin, HTTP 200: The WordPress administration panel is accessible from the public internet without IP restriction.</w:t>
      </w:r>
    </w:p>
    <w:p>
      <w:pPr>
        <w:pStyle w:val="ListParagraph"/>
        <w:widowControl/>
        <w:spacing w:after="40"/>
      </w:pPr>
      <w:r>
        <w:t>/server-status, HTTP 200 (MEDIUM): Apache mod_status is enabled, leaking active connections, client IPs, and request URLs.</w:t>
      </w:r>
    </w:p>
    <w:p>
      <w:pPr>
        <w:pStyle w:val="ListParagraph"/>
        <w:widowControl/>
        <w:spacing w:after="40"/>
      </w:pPr>
      <w:r>
        <w:t>/.git/HEAD, HTTP 200 (CRITICAL): The Git repository metadata is publicly readable, allowing an attacker to reconstruct the source tree. A path that instead returns 401/403 is reported as protected and does not appear as a finding.</w:t>
      </w:r>
    </w:p>
    <w:p>
      <w:pPr>
        <w:widowControl/>
        <w:spacing w:after="80"/>
      </w:pPr>
      <w:r>
        <w:rPr>
          <w:b/>
          <w:color w:val="B40000"/>
        </w:rPr>
        <w:t xml:space="preserve">WARNING: </w:t>
      </w:r>
      <w:r>
        <w:t>An exposed .env file is one of the most critical findings the scanner can produce. It should be treated as an active compromise: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is the PRIMARY source: it reveals every subdomain that has ever had a public certificate issued. The scanner queries TWO independent CT-log providers, crt.sh and certspotter, in parallel and merges (unions) their results, so a slow or failed response from one provider does not lose coverage. DNS brute-force resolution of 50+ common prefixes (www, mail, vpn, dev, staging, test, admin, api, beta, backup, jenkins, gitlab, jira, grafana, kibana, phpmyadmin, cpanel, owa, exchange, and many more) is the secondary source, used to catch subdomains that have no certificate. Discovered subdomains are classified as 'risky' when a risk keyword (dev, staging, admin, backup, and similar) appears as a distinct label; the apex itself and the ordinary www host are excluded from the risky count.</w:t>
      </w:r>
    </w:p>
    <w:p>
      <w:pPr>
        <w:widowControl/>
        <w:spacing w:after="80"/>
      </w:pPr>
      <w:r>
        <w:rPr>
          <w:b/>
        </w:rPr>
        <w:t xml:space="preserve">How it works: </w:t>
      </w:r>
      <w:r>
        <w:t>First, the scanner queries both CT-log providers (crt.sh and certspotter) in parallel and unions the subdomains they return. Certificate Transparency reveals subdomains the organisation may have forgotten about, such as old staging servers, decommissioned APIs, and test environments. Querying two providers matters because crt.sh in particular is prone to timeouts and rate-limiting under load; when it fails, certspotter still supplies CT coverage, so enumeration does not silently collapse to the brute-force list alone. If BOTH CT providers are unreachable on a given scan, the card is flagged low-coverage: the report states plainly that the external attack surface is likely under-reported, and that a fall in subdomain count versus a prior scan should be read as missing data rather than as the organisation having removed subdomains. Second, the scanner resolves each of the 50+ brute-force prefixes via DNS. Before doing so it runs a wildcard-DNS guard: two random non-existent labels are resolved, and if they answer (meaning *.domain is a catch-all wildcard) brute-force discovery is suppressed, because every guessed prefix would otherwise appear to resolve and fabricate subdomains that do not exist.</w:t>
      </w:r>
    </w:p>
    <w:p>
      <w:pPr>
        <w:widowControl/>
        <w:spacing w:after="80"/>
      </w:pPr>
      <w:r>
        <w:rPr>
          <w:b/>
        </w:rPr>
        <w:t xml:space="preserve">Phase 3,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endpoint unclaimed. An attacker can register this GitHub Pages repository and serve content on the subdomain.</w:t>
      </w:r>
    </w:p>
    <w:p>
      <w:pPr>
        <w:pStyle w:val="ListParagraph"/>
        <w:widowControl/>
        <w:spacing w:after="40"/>
      </w:pPr>
      <w:r>
        <w:t>vpn.example.com, owa.example.com,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remove the dangling CNAME record from DNS,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a medium-severity CVE with 80% EPSS is scored more harshly than a high-severity CVE with 1% EPSS. The Shodan checker is one of the highest-weighted components in the overall score calculation.</w:t>
      </w:r>
    </w:p>
    <w:p>
      <w:pPr>
        <w:widowControl/>
        <w:spacing w:after="80"/>
      </w:pPr>
      <w:r>
        <w:rPr>
          <w:b/>
          <w:color w:val="003399"/>
        </w:rPr>
        <w:t xml:space="preserve">NOTE: </w:t>
      </w:r>
      <w:r>
        <w:t>Version-confirmation gating. Where a CVE is inferred from an open port or a service template rather than from a confirmed software version, the scanner marks it as version-unconfirmed and the report presents it as a potential, unconfirmed finding. When a detected service banner names a different product than a templated CVE assumes (for example a Pure-FTPd banner on a port whose template lists ProFTPD vulnerabilities), that CVE is dropped rather than shown. The CISA KEV 'actively exploited' badge is displayed only for CVEs that survive this gating, so a well-defended host is not tagged with exploited-CVE warnings it does not actually carry.</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CVSS 9.8 (CRITICAL), CISA KEV: Yes, EPSS: 94.2%,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widowControl/>
        <w:spacing w:after="80"/>
      </w:pPr>
      <w:r>
        <w:rPr>
          <w:b/>
          <w:color w:val="003399"/>
        </w:rPr>
        <w:t xml:space="preserve">NOTE: </w:t>
      </w:r>
      <w:r>
        <w:t>Source-honesty: the free Shodan InternetDB path does not return ASN or hosting-country data, so when only InternetDB is available the card shows ASN and Country as 'not available' rather than inventing a placeholder count. Similarly, when OSV.dev reports a vulnerability with no real CVSS score, the severity is shown as estimated (derived from the database's own severity label) and flagged as such, rather than presenting a fabricated numeric CVSS.</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color w:val="B40000"/>
        </w:rPr>
        <w:t xml:space="preserve">WARNING: </w:t>
      </w:r>
      <w:r>
        <w:t>Fail-closed behaviour. If the Dehashed lookup cannot run - no API key, rejected credentials, exhausted credits, a subscription problem or a transport failure - the card reports NOT ASSESSED and is excluded from scoring. It does NOT report zero exposed credentials. Previously an unusable provider produced an empty result that was indistinguishable from a genuinely clean estate and scored as one; the credential-risk classifier likewise now returns UNKNOWN rather than the reassuring "LOW - exposure is historical and/or email-only" summary. See section 6.0.</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easily cracked) or strong (bcrypt, argon2, scrypt, SHA-256, SHA-512,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corporate addresses represent direct risk to the organisation.</w:t>
      </w:r>
    </w:p>
    <w:p>
      <w:pPr>
        <w:pStyle w:val="ListParagraph"/>
        <w:widowControl/>
        <w:spacing w:after="40"/>
      </w:pPr>
      <w:r>
        <w:t>Breach sources: Collection #1, LinkedIn 2012, Adobe, Exploit.in, Anti Public Combo List,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credentials are actively being sold on dark web markets. Immediate incident response required.</w:t>
      </w:r>
    </w:p>
    <w:p>
      <w:pPr>
        <w:pStyle w:val="ListParagraph"/>
        <w:widowControl/>
        <w:spacing w:after="40"/>
      </w:pPr>
      <w:r>
        <w:t>3 user account(s) compromised via infostealer, force password resets and enable MFA for affected accounts.</w:t>
      </w:r>
    </w:p>
    <w:p>
      <w:pPr>
        <w:pStyle w:val="ListParagraph"/>
        <w:widowControl/>
        <w:spacing w:after="40"/>
      </w:pPr>
      <w:r>
        <w:t>5 third-party exposure(s) detected, review supply chain partners and shared credential access.</w:t>
      </w:r>
    </w:p>
    <w:p>
      <w:pPr>
        <w:pStyle w:val="ListParagraph"/>
        <w:widowControl/>
        <w:spacing w:after="40"/>
      </w:pPr>
      <w:r>
        <w:t>No infostealer infections detected,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escalate the urgency.</w:t>
      </w:r>
    </w:p>
    <w:p>
      <w:pPr>
        <w:keepNext/>
        <w:spacing w:before="200" w:after="60"/>
      </w:pPr>
      <w:r>
        <w:rPr>
          <w:b/>
          <w:color w:val="003366"/>
          <w:sz w:val="26"/>
        </w:rPr>
        <w:t>4.6.8  Dark Web Monitoring (IntelX)</w:t>
      </w:r>
    </w:p>
    <w:p>
      <w:pPr>
        <w:widowControl/>
        <w:spacing w:after="80"/>
      </w:pPr>
      <w:r>
        <w:rPr>
          <w:b/>
          <w:color w:val="B40000"/>
        </w:rPr>
        <w:t xml:space="preserve">WARNING: </w:t>
      </w:r>
      <w:r>
        <w:t>Fail-closed behaviour. IntelX signals an exhausted daily search allowance by returning a success response with no search identifier, which earlier read as "searched, nothing circulating" - identical to a genuinely clean domain. That state, a refused result poll, and a search that never concludes are now all reported as NOT ASSESSED and excluded from scoring. The free tier allows 50 searches per day, resetting at midnight UTC, and one scan consumes one search.</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credentials or data may be actively traded on criminal forums.</w:t>
      </w:r>
    </w:p>
    <w:p>
      <w:pPr>
        <w:pStyle w:val="ListParagraph"/>
        <w:widowControl/>
        <w:spacing w:after="40"/>
      </w:pPr>
      <w:r>
        <w:t>8 paste site mention(s), data has been shared on public paste sites (Pastebin, etc.).</w:t>
      </w:r>
    </w:p>
    <w:p>
      <w:pPr>
        <w:pStyle w:val="ListParagraph"/>
        <w:widowControl/>
        <w:spacing w:after="40"/>
      </w:pPr>
      <w:r>
        <w:t>12 reference(s) found in dark web and leak databases,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Dehashed, HIBP, Hudson Rock, and IntelX,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Counting password-bearing records: </w:t>
      </w:r>
      <w:r>
        <w:t>Where the assessment reports an exposed-credential count, it counts the records (mailboxes) that actually carry a password, the plaintext- and hashed-password subset from the Dehashed credential breakdown, rather than treating a single 'passwords present' indicator as if it were a count. The figure is therefore phrased so the reader can see both the total exposure and how much of it is directly loginable (for example, one mailbox carrying a password across thirteen breach-exposure records). Email addresses are lower-cased and trimmed before the unique-mailbox tally so that the same address in different letter cases is not double-counted.</w:t>
      </w:r>
    </w:p>
    <w:p>
      <w:pPr>
        <w:widowControl/>
        <w:spacing w:after="80"/>
      </w:pPr>
      <w:r>
        <w:rPr>
          <w:b/>
        </w:rPr>
        <w:t xml:space="preserve">Risk levels and their meanings: </w:t>
      </w:r>
      <w:r>
        <w:t>CRITICAL: Active infostealer infection detected or credentials being actively traded on the dark web. Immediate incident response required: isolate devices, force all password resets, enable MFA, engage forensics. HIGH: Recent breach (2023+) with password exposure, or dark web mentions detected. Force password resets for identified accounts, enable MFA, implement continuous monitoring. MEDIUM: Historical credential exposure without active compromise indicators. Review affected accounts, enforce MFA, monitor for credential-stuffing attempts. LOW: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human-readable explanations of why the risk level was assigned (e.g., 'ACTIVE INFOSTEALER: 2 employee device(s) currently infected,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e.g., 'business', 'phishing', 'malware'), popularity_ranks (Alexa, Cisco Umbrella), and last_analysis_results (per-engine verdict details). The scanner extracts flagging engines, any engine that returned 'malicious' or 'suspicious',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the flagging engines are listed by name (e.g., Fortinet, Kaspersky, ESET) with their specific verdicts.</w:t>
      </w:r>
    </w:p>
    <w:p>
      <w:pPr>
        <w:pStyle w:val="ListParagraph"/>
        <w:widowControl/>
        <w:spacing w:after="40"/>
      </w:pPr>
      <w:r>
        <w:t>1 security engine(s) flagged this domain as suspicious, a single suspicious flag may be a false positive but warrants investigation.</w:t>
      </w:r>
    </w:p>
    <w:p>
      <w:pPr>
        <w:pStyle w:val="ListParagraph"/>
        <w:widowControl/>
        <w:spacing w:after="40"/>
      </w:pPr>
      <w:r>
        <w:t>Categories: Fortinet classifies the domain as 'phishing',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several generation techniques: character omission, adjacent character swap, character duplication, ASCII homoglyph substitution (visually similar characters like 'o' and '0', 'l' and '1'), adjacent-keyboard typos (fat-finger errors), TLD variants (e.g., .com to .net, .co, .io, .co.za), dot insertion, and hyphen insertion. It also generates a bounded set of IDN / homoglyph candidates, internationalised-domain lookalikes that substitute Unicode characters resembling Latin letters (e.g. a Cyrillic 'а' for an ASCII 'a') and are registered in their punycode (xn--) form. These are the hardest lookalikes for a human to spot in an address bar.</w:t>
      </w:r>
    </w:p>
    <w:p>
      <w:pPr>
        <w:widowControl/>
        <w:spacing w:after="80"/>
      </w:pPr>
      <w:r>
        <w:rPr>
          <w:b/>
        </w:rPr>
        <w:t xml:space="preserve">How it works: </w:t>
      </w:r>
      <w:r>
        <w:t>First, the domain is split into its name and TLD components (handling multi-part TLDs like .co.za). The permutation engine generates all variants using the techniques above. For ASCII homoglyph substitution, the scanner uses a mapping of visually similar characters (a/4/@, b/d/6, e/3, i/1/l/!, o/0, s/5/$, etc.). IDN / homoglyph candidates are built by swapping a Latin letter for a confusable Unicode character and encoding the result to its punycode (xn--) label, which is what actually appears in DNS; this set is deliberately bounded to keep the permutation space manageable. For keyboard typos, it uses an adjacency map of QWERTY keyboard neighbours. TLD variants are checked across 17 common TLDs including .com, .net, .org, .co, .dev, .online, .io, .info, .co.za, and .africa. Each generated permutation is checked via DNS resolution, if it resolves, the domain is registered and active. Resolved domains are further checked for SSL certificates, which indicate the lookalike is actively being used (possibly for phishing with a convincing HTTPS connection). Each permutation includes a visual similarity percentage. Every generated technique is probed - the probe list is assembled round-robin across techniques rather than truncated, so a per-scan cap can never silently drop an entire attack class such as the TLD variants.</w:t>
      </w:r>
    </w:p>
    <w:p>
      <w:pPr>
        <w:widowControl/>
        <w:spacing w:after="80"/>
      </w:pPr>
      <w:r>
        <w:rPr>
          <w:b/>
        </w:rPr>
        <w:t xml:space="preserve">Posture probing (what each lookalike can actually DO): </w:t>
      </w:r>
      <w:r>
        <w:t>A count of resolving lookalikes is a finding, not an instruction. What determines whether a lookalike is dangerous is its CAPABILITY, so each resolved domain is additionally profiled: MX records (can it send and receive email as your brand?), SPF policy, nameservers (is it parked or listed for sale at a domain broker?), and a single cautious page fetch recording the HTTP status, response size and the page's own title. From these the scanner assigns a risk band and a specific recommendation, and orders the list by capability rather than by resemblance.</w:t>
      </w:r>
    </w:p>
    <w:p>
      <w:pPr>
        <w:widowControl/>
        <w:spacing w:after="80"/>
      </w:pPr>
      <w:r>
        <w:rPr>
          <w:b/>
        </w:rPr>
        <w:t xml:space="preserve">The distinction that matters: </w:t>
      </w:r>
      <w:r>
        <w:t>A near-typo with working mail and NO website is the classic credential-phishing setup - the domain exists in order to send. A domain publishing a null MX record (RFC 7505) with an SPF policy of -all can neither send nor receive and is usually a defensive or speculative registration. Both resolve; only the first can phish your staff, brokers and clients today. Ranking them identically overstates one and understates the other.</w:t>
      </w:r>
    </w:p>
    <w:p>
      <w:pPr>
        <w:widowControl/>
        <w:spacing w:after="80"/>
      </w:pPr>
      <w:r>
        <w:rPr>
          <w:b/>
          <w:color w:val="B40000"/>
        </w:rPr>
        <w:t xml:space="preserve">WARNING: </w:t>
      </w:r>
      <w:r>
        <w:t>A similar name is not impersonation. A lookalike that is mail-capable AND serves a live, branded website is as often an unrelated business as an impersonator - phishield.io, for example, is PHIShield, a healthcare de-identification product (PHI = Protected Health Information), entirely unconnected to Phishield. The report therefore quotes each live site's own page title and frames these as VERIFY FIRST rather than recommending action. Confirm that a domain actually copies your branding or claims to be you before reporting it to a registrar; an abuse complaint against a legitimate business is both ineffective and reputationally damaging.</w:t>
      </w:r>
    </w:p>
    <w:p>
      <w:pPr>
        <w:widowControl/>
        <w:spacing w:after="80"/>
      </w:pPr>
      <w:r>
        <w:rPr>
          <w:b/>
          <w:color w:val="003399"/>
        </w:rPr>
        <w:t xml:space="preserve">NOTE: </w:t>
      </w:r>
      <w:r>
        <w:t>Detection is resolution-based: a permutation is reported only if it resolves in DNS. A domain that is registered but publishes no A record will not appear, even though it may still be quoted on a social-media profile or in an email signature. If a client reports seeing a lookalike that the scan does not list, check whether it resolves at all - a name can be circulated without ever being hosted.</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these are the highest-risk variants as they can serve convincing HTTPS phishing pages.</w:t>
      </w:r>
    </w:p>
    <w:p>
      <w:pPr>
        <w:pStyle w:val="ListParagraph"/>
        <w:widowControl/>
        <w:spacing w:after="40"/>
      </w:pPr>
      <w:r>
        <w:t>No lookalike domains resolving,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t>Presentation: across all supply-chain signals (related domains, third-party scripts, dependency manifests, the email-vendor surface, vendor-breach correlation, CMS plugins and the cross-correlation), the executive deck presents a single rolled-up supply-chain verdict and only the signals carrying a material finding; the full per-signal detail appears in the technical report and the HTML view. A checker that runs and finds nothing is reported as clean - a positive due-diligence result - which is distinct from a checker that did not run or is not applicable (for example, the CMS-plugin checker on a non-WordPress site).</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broker should review whether the unknown include is legitimate or a stale configuration artefact.</w:t>
      </w:r>
    </w:p>
    <w:p>
      <w:pPr>
        <w:keepNext/>
        <w:spacing w:before="200" w:after="60"/>
      </w:pPr>
      <w:r>
        <w:rPr>
          <w:b/>
          <w:color w:val="003366"/>
          <w:sz w:val="26"/>
        </w:rPr>
        <w:t>4.6.16  CMS Plugin Surface: WordPress (S-10)</w:t>
      </w:r>
    </w:p>
    <w:p>
      <w:pPr>
        <w:widowControl/>
        <w:spacing w:after="80"/>
      </w:pPr>
      <w:r>
        <w:rPr>
          <w:b/>
        </w:rPr>
        <w:t xml:space="preserve">What it checks: </w:t>
      </w:r>
      <w:r>
        <w:t>WordPress-only. The checker first establishes a genuine WordPress fingerprint by probing /wp-content/, /wp-login.php, and /wp-includes/, guarded by a random-path catch-all test so a site that returns 200 for every URL (a soft-404 / SPA front end behind a CDN) is NOT mistaken for WordPress. If no genuine fingerprint is found the checker reports 'skipped' (the site is not WordPress and the card does not render in the report). Only when WordPress is confirmed does the scanner enumerate 25 popular plugin slugs by requesting /wp-content/plugins/&lt;slug&gt;/readme.txt; a plugin is counted only when that readme returns HTTP 200 AND passes a body-sanity check confirming it is a real plugin readme (not a generic page). Version strings are harvested from the readme's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catastrophe model captures this loss-given-breach severity through the records-driven C1 liability (a supplier-vectored breach still exposes the insured's full record base), and discloses correlated systemic supply-chain catastrophe at portfolio level. The earlier conditional-Pareto loss-given-breach widening was retired to keep one signal mapped to one channel and avoid double-counting.</w:t>
      </w:r>
    </w:p>
    <w:p>
      <w:pPr>
        <w:keepNext/>
        <w:spacing w:before="200" w:after="60"/>
      </w:pPr>
      <w:r>
        <w:rPr>
          <w:b/>
          <w:color w:val="003366"/>
          <w:sz w:val="26"/>
        </w:rPr>
        <w:t>4.6.18  Credential Exposure Correlation (DeHashed × Recency × Infostealer × IntelX)</w:t>
      </w:r>
    </w:p>
    <w:p>
      <w:pPr>
        <w:widowControl/>
        <w:spacing w:after="80"/>
      </w:pPr>
      <w:r>
        <w:rPr>
          <w:b/>
        </w:rPr>
        <w:t xml:space="preserve">What it checks: </w:t>
      </w:r>
      <w:r>
        <w:t>A reporting-only cross-correlation that joins four independent credential signals already gathered elsewhere in the scan into a single rotate-now verdict: (1) the breached-credential corpus from Dehashed (4.6.6); (2) the recency of that exposure, dated from IntelX, HIBP-enriched breach dates, and, most reliably, the infostealer infection date; (3) active theft from Hudson Rock infostealer infections (4.6.7); and (4) active circulation / trading from IntelX leak, paste, and dark-web mentions (4.6.8). It is the credential analogue of the Third-Party Cross-Correlation card (4.6.19) and follows the same design pattern.</w:t>
      </w:r>
    </w:p>
    <w:p>
      <w:pPr>
        <w:widowControl/>
        <w:spacing w:after="80"/>
      </w:pPr>
      <w:r>
        <w:rPr>
          <w:b/>
        </w:rPr>
        <w:t xml:space="preserve">How it works: </w:t>
      </w:r>
      <w:r>
        <w:t>The verdict escalates from NONE up to CRITICAL based on how many signals confirm ACTIVE (not merely historical) compromise. The decisive factor is a date-proven fresh infostealer infection (≤90 days): a breached corpus PLUS a live infection is CRITICAL; a recent non-combo breach or aged infection is HIGH; a corpus that is merely circulating with no fresh-theft proof is MEDIUM (it may already be rotated); old datable exposure with no active signal is LOW. Every dated record is bucketed into a recency timeline (&lt;30d / 30-90d / 90-180d / 180-360d / 1-2yr / &gt;2yr) so the reader can see at a glance whether the exposure is fresh or stale.</w:t>
      </w:r>
    </w:p>
    <w:p>
      <w:pPr>
        <w:widowControl/>
        <w:spacing w:after="80"/>
      </w:pPr>
      <w:r>
        <w:rPr>
          <w:b/>
        </w:rPr>
        <w:t xml:space="preserve">Active vs re-circulated, the date-anchor discipline: </w:t>
      </w:r>
      <w:r>
        <w:t>Aggregator / combo-list sources (e.g. ALIEN TXTBASE) are flagged as re-packaged historical data: a recent OBSERVED date on a combo list is re-circulation, not fresh theft, and on its own does not qualify as 'genuinely recent'. Only the infostealer infection date, a point-in-time malware capture, is treated as a reliable freshness anchor. This prevents a recycled compilation from inflating the verdict to CRITICAL.</w:t>
      </w:r>
    </w:p>
    <w:p>
      <w:pPr>
        <w:widowControl/>
        <w:spacing w:after="80"/>
      </w:pPr>
      <w:r>
        <w:rPr>
          <w:b/>
        </w:rPr>
        <w:t xml:space="preserve">Password-bearing records are counted, not assumed: </w:t>
      </w:r>
      <w:r>
        <w:t>The card reports the breached-record total AND, separately, how many of those records actually carry a password, e.g. '13 leaked credential records (2 with passwords)'. Only the plaintext- and hashed-password subset (from Dehashed's credential breakdown) is counted as 'with passwords'; the remaining records are breach-exposure rows (email appeared in a breach) with no credential attached. This distinction is deliberate: tagging the full corpus as 'with passwords' would overstate the rotate-now severity that underwriters act on.</w:t>
      </w:r>
    </w:p>
    <w:p>
      <w:pPr>
        <w:widowControl/>
        <w:spacing w:after="80"/>
      </w:pPr>
      <w:r>
        <w:rPr>
          <w:b/>
        </w:rPr>
        <w:t xml:space="preserve">Why it matters for insurance: </w:t>
      </w:r>
      <w:r>
        <w:t>This card answers the single question an underwriter cares about for credentials, 'is someone able to log in right now?', by separating live, date-proven exposure from old or recycled data. A HIGH or CRITICAL verdict justifies a forced-reset + MFA remediation condition before binding; a MEDIUM/LOW verdict on aged-only exposure provides assurance that the credential risk is largely historical.</w:t>
      </w:r>
    </w:p>
    <w:p>
      <w:pPr>
        <w:widowControl/>
        <w:spacing w:after="80"/>
      </w:pPr>
      <w:r>
        <w:rPr>
          <w:b/>
          <w:color w:val="003399"/>
        </w:rPr>
        <w:t xml:space="preserve">NOTE: </w:t>
      </w:r>
      <w:r>
        <w:t>Like the Third-Party Cross-Correlation card, this is REPORTING-ONLY and carries NO scoring weight. The underlying signals (Dehashed, Hudson Rock, IntelX) already score through their own channels and the Credential Risk Assessment (4.6.9) provides the headline verdict; a separate weight here would double-count. The correlation exists to prioritise the rotate-list, not to move the score.</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Hudson Rock infostealer harvest (via credential_risk), S-4 SPF vendor surface, S-5 known-breach matches,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Interpreting Exposure Results</w:t>
      </w:r>
    </w:p>
    <w:p>
      <w:pPr>
        <w:widowControl/>
        <w:spacing w:after="80"/>
      </w:pPr>
      <w:r>
        <w:t>The seventeen checkers in this section work together to provide a 360-degree view of a domain's exposure and reputation profile,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a curated end-of-life (EOL) software signature table, refreshed against endoflife.date, that is checked against every detected component. It spans the server-side and runtime stacks most commonly exposed in response headers: PHP, Node.js, Python, OpenSSL, Apache httpd, nginx, Microsoft IIS, Apache Tomcat/Coyote, and ASP.NET. Only branches that are genuinely past their vendor security-EOL date are listed (for example PHP 8.0 and below, OpenSSL 1.1.1 and below, or nginx 1.18 and below); still-supported branches are intentionally absent so they are not flagged.</w:t>
      </w:r>
    </w:p>
    <w:p>
      <w:pPr>
        <w:widowControl/>
        <w:spacing w:after="80"/>
      </w:pPr>
      <w:r>
        <w:t>Version matching is anchored on a component boundary: the matched version token must be followed by a non-digit, so a signature for a branch such as 7.1 matches '7.1' but does NOT spuriously match a newer release like 7.10. This prevents a supported version from being mislabelled end-of-life because its version string happens to begin with an older branch number.</w:t>
      </w:r>
    </w:p>
    <w:p>
      <w:pPr>
        <w:widowControl/>
        <w:spacing w:after="80"/>
      </w:pPr>
      <w:r>
        <w:rPr>
          <w:b/>
          <w:color w:val="B40000"/>
        </w:rPr>
        <w:t xml:space="preserve">WARNING: </w:t>
      </w:r>
      <w:r>
        <w:t>End-of-life software is permanently unpatched. Unlike a missing patch on supported software, there is no fix coming,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flagged as a risk factor. New domains lack reputation history and are disproportionately used in scam operations.</w:t>
      </w:r>
    </w:p>
    <w:p>
      <w:pPr>
        <w:pStyle w:val="ListParagraph"/>
        <w:widowControl/>
        <w:spacing w:after="40"/>
      </w:pPr>
      <w:r>
        <w:t>Domain age over 5 years, positive trust signal. Long-standing domains indicate business continuity and established operations.</w:t>
      </w:r>
    </w:p>
    <w:p>
      <w:pPr>
        <w:pStyle w:val="ListParagraph"/>
        <w:widowControl/>
        <w:spacing w:after="40"/>
      </w:pPr>
      <w:r>
        <w:t>Domain expiry within 90 days, warning flag. A domain that is about to expire may indicate neglected infrastructure or a business in decline.</w:t>
      </w:r>
    </w:p>
    <w:p>
      <w:pPr>
        <w:pStyle w:val="ListParagraph"/>
        <w:widowControl/>
        <w:spacing w:after="40"/>
      </w:pPr>
      <w:r>
        <w:t>WHOIS privacy enabled,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frequent changes to A records or NS records may indicate infrastructure instability or a recent migration.</w:t>
      </w:r>
    </w:p>
    <w:p>
      <w:pPr>
        <w:pStyle w:val="ListParagraph"/>
        <w:widowControl/>
        <w:spacing w:after="40"/>
      </w:pPr>
      <w:r>
        <w:t>MX record analysis, identifies the email provider (Google Workspace, Microsoft 365, self-hosted). Self-hosted mail servers require more operational security than managed providers.</w:t>
      </w:r>
    </w:p>
    <w:p>
      <w:pPr>
        <w:pStyle w:val="ListParagraph"/>
        <w:widowControl/>
        <w:spacing w:after="40"/>
      </w:pPr>
      <w:r>
        <w:t>NS record analysis,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Does the policy describe what personal information is collected and the lawful basis for processing?</w:t>
      </w:r>
    </w:p>
    <w:p>
      <w:pPr>
        <w:pStyle w:val="ListParagraph"/>
        <w:widowControl/>
        <w:spacing w:after="40"/>
      </w:pPr>
      <w:r>
        <w:t>Data retention: Does the policy state how long data is kept and the criteria used to determine retention periods?</w:t>
      </w:r>
    </w:p>
    <w:p>
      <w:pPr>
        <w:pStyle w:val="ListParagraph"/>
        <w:widowControl/>
        <w:spacing w:after="40"/>
      </w:pPr>
      <w:r>
        <w:t>Data subject rights: Does the policy inform individuals of their rights to access, correct, and delete their personal information?</w:t>
      </w:r>
    </w:p>
    <w:p>
      <w:pPr>
        <w:pStyle w:val="ListParagraph"/>
        <w:widowControl/>
        <w:spacing w:after="40"/>
      </w:pPr>
      <w:r>
        <w:t>Information officer: Does the policy name or reference an information officer or data protection officer, as required by POPIA Section 55?</w:t>
      </w:r>
    </w:p>
    <w:p>
      <w:pPr>
        <w:pStyle w:val="ListParagraph"/>
        <w:widowControl/>
        <w:spacing w:after="40"/>
      </w:pPr>
      <w:r>
        <w:t>Cross-border transfers: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If security.txt references a PGP encryption key, it shows the organisation can receive encrypted vulnerability reports, adding another layer of operational maturity.</w:t>
      </w:r>
    </w:p>
    <w:p>
      <w:pPr>
        <w:pStyle w:val="ListParagraph"/>
        <w:widowControl/>
        <w:spacing w:after="40"/>
      </w:pPr>
      <w:r>
        <w:t>robots.txt: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Encryption in Transit: TLS configuration and certificate validity (from the SSL checker). POPIA Section 19 requires appropriate technical measures to secure personal information.</w:t>
      </w:r>
    </w:p>
    <w:p>
      <w:pPr>
        <w:pStyle w:val="ListParagraph"/>
        <w:widowControl/>
        <w:spacing w:after="40"/>
      </w:pPr>
      <w:r>
        <w:t>S19b, Security Headers: HTTP security headers that prevent XSS, clickjacking, and MIME-type attacks.</w:t>
      </w:r>
    </w:p>
    <w:p>
      <w:pPr>
        <w:pStyle w:val="ListParagraph"/>
        <w:widowControl/>
        <w:spacing w:after="40"/>
      </w:pPr>
      <w:r>
        <w:t>S19c, Web Application Security: Secure website configuration and WAF protection.</w:t>
      </w:r>
    </w:p>
    <w:p>
      <w:pPr>
        <w:pStyle w:val="ListParagraph"/>
        <w:widowControl/>
        <w:spacing w:after="40"/>
      </w:pPr>
      <w:r>
        <w:t>S19d, Network Access Control: Restriction of remote access services (RDP, VPN) and closure of high-risk network ports.</w:t>
      </w:r>
    </w:p>
    <w:p>
      <w:pPr>
        <w:pStyle w:val="ListParagraph"/>
        <w:widowControl/>
        <w:spacing w:after="40"/>
      </w:pPr>
      <w:r>
        <w:t>S19e, Email Security: SPF, DMARC, and DKIM configuration to prevent phishing and email impersonation.</w:t>
      </w:r>
    </w:p>
    <w:p>
      <w:pPr>
        <w:pStyle w:val="ListParagraph"/>
        <w:widowControl/>
        <w:spacing w:after="40"/>
      </w:pPr>
      <w:r>
        <w:t>S20a, Privacy Policy: Published privacy policy covering all POPIA-required sections.</w:t>
      </w:r>
    </w:p>
    <w:p>
      <w:pPr>
        <w:pStyle w:val="ListParagraph"/>
        <w:widowControl/>
        <w:spacing w:after="40"/>
      </w:pPr>
      <w:r>
        <w:t>S20b, Data Minimisation: No unnecessary exposure of sensitive files or admin interfaces.</w:t>
      </w:r>
    </w:p>
    <w:p>
      <w:pPr>
        <w:pStyle w:val="ListParagraph"/>
        <w:widowControl/>
        <w:spacing w:after="40"/>
      </w:pPr>
      <w:r>
        <w:t>S21a, Software Currency: All software components actively maintained with no end-of-life versions.</w:t>
      </w:r>
    </w:p>
    <w:p>
      <w:pPr>
        <w:pStyle w:val="ListParagraph"/>
        <w:widowControl/>
        <w:spacing w:after="40"/>
      </w:pPr>
      <w:r>
        <w:t>S22a, Breach History: Historical data breach exposure and notification readiness.</w:t>
      </w:r>
    </w:p>
    <w:p>
      <w:pPr>
        <w:pStyle w:val="ListParagraph"/>
        <w:widowControl/>
        <w:spacing w:after="40"/>
      </w:pPr>
      <w:r>
        <w:t>S22b,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Default Credentials: Checks for exposed admin panels that may use default or guessable credentials.</w:t>
      </w:r>
    </w:p>
    <w:p>
      <w:pPr>
        <w:pStyle w:val="ListParagraph"/>
        <w:widowControl/>
        <w:spacing w:after="40"/>
      </w:pPr>
      <w:r>
        <w:t>Req 2b, System Hardening: Security headers and information disclosure controls.</w:t>
      </w:r>
    </w:p>
    <w:p>
      <w:pPr>
        <w:pStyle w:val="ListParagraph"/>
        <w:widowControl/>
        <w:spacing w:after="40"/>
      </w:pPr>
      <w:r>
        <w:t>Req 2c, Security Policies: Presence of documented security policies (security.txt).</w:t>
      </w:r>
    </w:p>
    <w:p>
      <w:pPr>
        <w:pStyle w:val="ListParagraph"/>
        <w:widowControl/>
        <w:spacing w:after="40"/>
      </w:pPr>
      <w:r>
        <w:t>Req 4a, TLS Configuration: Strong TLS encryption for cardholder data transmission.</w:t>
      </w:r>
    </w:p>
    <w:p>
      <w:pPr>
        <w:pStyle w:val="ListParagraph"/>
        <w:widowControl/>
        <w:spacing w:after="40"/>
      </w:pPr>
      <w:r>
        <w:t>Req 4b, HTTPS Enforcement: All endpoints handling sensitive data served exclusively over HTTPS.</w:t>
      </w:r>
    </w:p>
    <w:p>
      <w:pPr>
        <w:pStyle w:val="ListParagraph"/>
        <w:widowControl/>
        <w:spacing w:after="40"/>
      </w:pPr>
      <w:r>
        <w:t>Req 6a, Patch Management: Software versions current with no known vulnerabilities.</w:t>
      </w:r>
    </w:p>
    <w:p>
      <w:pPr>
        <w:pStyle w:val="ListParagraph"/>
        <w:widowControl/>
        <w:spacing w:after="40"/>
      </w:pPr>
      <w:r>
        <w:t>Req 6b, Secure Coding: Secure application headers and web application protection.</w:t>
      </w:r>
    </w:p>
    <w:p>
      <w:pPr>
        <w:pStyle w:val="ListParagraph"/>
        <w:widowControl/>
        <w:spacing w:after="40"/>
      </w:pPr>
      <w:r>
        <w:t>Req 8a, Payment Security: PCI-compliant payment processing (third-party vs. self-hosted).</w:t>
      </w:r>
    </w:p>
    <w:p>
      <w:pPr>
        <w:pStyle w:val="ListParagraph"/>
        <w:widowControl/>
        <w:spacing w:after="40"/>
      </w:pPr>
      <w:r>
        <w:t>Req 11a, Vulnerability Scanning: External vulnerability scan results from Shodan CVE analysis.</w:t>
      </w:r>
    </w:p>
    <w:p>
      <w:pPr>
        <w:pStyle w:val="ListParagraph"/>
        <w:widowControl/>
        <w:spacing w:after="40"/>
      </w:pPr>
      <w:r>
        <w:t>Req 11b,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Asset Inventory: Technology stack detection and external IP enumeration.</w:t>
      </w:r>
    </w:p>
    <w:p>
      <w:pPr>
        <w:pStyle w:val="ListParagraph"/>
        <w:widowControl/>
        <w:spacing w:after="40"/>
      </w:pPr>
      <w:r>
        <w:t>A.8b, Attack Surface: Subdomain discovery and attack surface mapping.</w:t>
      </w:r>
    </w:p>
    <w:p>
      <w:pPr>
        <w:pStyle w:val="ListParagraph"/>
        <w:widowControl/>
        <w:spacing w:after="40"/>
      </w:pPr>
      <w:r>
        <w:t>A.12a, Network Security: Open port analysis, DNS infrastructure, and service hardening.</w:t>
      </w:r>
    </w:p>
    <w:p>
      <w:pPr>
        <w:pStyle w:val="ListParagraph"/>
        <w:widowControl/>
        <w:spacing w:after="40"/>
      </w:pPr>
      <w:r>
        <w:t>A.12b, Remote Access: RDP, VPN, and remote access protocol security.</w:t>
      </w:r>
    </w:p>
    <w:p>
      <w:pPr>
        <w:pStyle w:val="ListParagraph"/>
        <w:widowControl/>
        <w:spacing w:after="40"/>
      </w:pPr>
      <w:r>
        <w:t>A.12c, Malware and Reputation: DNSBL blacklisting and VirusTotal malware detection.</w:t>
      </w:r>
    </w:p>
    <w:p>
      <w:pPr>
        <w:pStyle w:val="ListParagraph"/>
        <w:widowControl/>
        <w:spacing w:after="40"/>
      </w:pPr>
      <w:r>
        <w:t>A.12d, DDoS Resilience: WAF detection and CDN/cloud infrastructure.</w:t>
      </w:r>
    </w:p>
    <w:p>
      <w:pPr>
        <w:pStyle w:val="ListParagraph"/>
        <w:widowControl/>
        <w:spacing w:after="40"/>
      </w:pPr>
      <w:r>
        <w:t>A.14a, Encryption Standards: SSL/TLS configuration and certificate management.</w:t>
      </w:r>
    </w:p>
    <w:p>
      <w:pPr>
        <w:pStyle w:val="ListParagraph"/>
        <w:widowControl/>
        <w:spacing w:after="40"/>
      </w:pPr>
      <w:r>
        <w:t>A.14b, Application Security: HTTP security headers and web application hardening.</w:t>
      </w:r>
    </w:p>
    <w:p>
      <w:pPr>
        <w:pStyle w:val="ListParagraph"/>
        <w:widowControl/>
        <w:spacing w:after="40"/>
      </w:pPr>
      <w:r>
        <w:t>A.14c,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Govern,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GV.1 Security Policy: Documented cybersecurity governance (security.txt).</w:t>
      </w:r>
    </w:p>
    <w:p>
      <w:pPr>
        <w:pStyle w:val="ListParagraph"/>
        <w:widowControl/>
        <w:spacing w:after="40"/>
      </w:pPr>
      <w:r>
        <w:t>GOVERN, GV.2 Privacy Governance: Privacy policy and data protection compliance.</w:t>
      </w:r>
    </w:p>
    <w:p>
      <w:pPr>
        <w:pStyle w:val="ListParagraph"/>
        <w:widowControl/>
        <w:spacing w:after="40"/>
      </w:pPr>
      <w:r>
        <w:t>IDENTIFY, ID.1 Asset Discovery: Technology stack and external IP inventory.</w:t>
      </w:r>
    </w:p>
    <w:p>
      <w:pPr>
        <w:pStyle w:val="ListParagraph"/>
        <w:widowControl/>
        <w:spacing w:after="40"/>
      </w:pPr>
      <w:r>
        <w:t>IDENTIFY, ID.2 Attack Surface Mapping: Subdomain discovery and information disclosure.</w:t>
      </w:r>
    </w:p>
    <w:p>
      <w:pPr>
        <w:pStyle w:val="ListParagraph"/>
        <w:widowControl/>
        <w:spacing w:after="40"/>
      </w:pPr>
      <w:r>
        <w:t>PROTECT, PR.1 Encryption and TLS: Data-in-transit protection.</w:t>
      </w:r>
    </w:p>
    <w:p>
      <w:pPr>
        <w:pStyle w:val="ListParagraph"/>
        <w:widowControl/>
        <w:spacing w:after="40"/>
      </w:pPr>
      <w:r>
        <w:t>PROTECT, PR.2 Security Headers and Hardening: HTTP hardening and web application security.</w:t>
      </w:r>
    </w:p>
    <w:p>
      <w:pPr>
        <w:pStyle w:val="ListParagraph"/>
        <w:widowControl/>
        <w:spacing w:after="40"/>
      </w:pPr>
      <w:r>
        <w:t>PROTECT, PR.3 Perimeter Defence: WAF, firewall rules, and remote access controls.</w:t>
      </w:r>
    </w:p>
    <w:p>
      <w:pPr>
        <w:pStyle w:val="ListParagraph"/>
        <w:widowControl/>
        <w:spacing w:after="40"/>
      </w:pPr>
      <w:r>
        <w:t>PROTECT, PR.4 Email Authentication: SPF, DMARC, DKIM, and MTA-STS.</w:t>
      </w:r>
    </w:p>
    <w:p>
      <w:pPr>
        <w:pStyle w:val="ListParagraph"/>
        <w:widowControl/>
        <w:spacing w:after="40"/>
      </w:pPr>
      <w:r>
        <w:t>DETECT, DE.1 Vulnerability Detection: Shodan CVE analysis and version-based vulnerability scanning.</w:t>
      </w:r>
    </w:p>
    <w:p>
      <w:pPr>
        <w:pStyle w:val="ListParagraph"/>
        <w:widowControl/>
        <w:spacing w:after="40"/>
      </w:pPr>
      <w:r>
        <w:t>DETECT, DE.2 Threat Intelligence: VirusTotal, DNSBL, and exposed admin detection.</w:t>
      </w:r>
    </w:p>
    <w:p>
      <w:pPr>
        <w:pStyle w:val="ListParagraph"/>
        <w:widowControl/>
        <w:spacing w:after="40"/>
      </w:pPr>
      <w:r>
        <w:t>RESPOND, RS.1 Breach Response: Historical breach exposure and credential leak monitoring.</w:t>
      </w:r>
    </w:p>
    <w:p>
      <w:pPr>
        <w:pStyle w:val="ListParagraph"/>
        <w:widowControl/>
        <w:spacing w:after="40"/>
      </w:pPr>
      <w:r>
        <w:t>RESPOND, RS.2 Security Disclosure: Published vulnerability disclosure policy.</w:t>
      </w:r>
    </w:p>
    <w:p>
      <w:pPr>
        <w:pStyle w:val="ListParagraph"/>
        <w:widowControl/>
        <w:spacing w:after="40"/>
      </w:pPr>
      <w:r>
        <w:t>RECOVER, RC.1 Infrastructure Resilience: DNS redundancy and CDN availability.</w:t>
      </w:r>
    </w:p>
    <w:p>
      <w:pPr>
        <w:pStyle w:val="ListParagraph"/>
        <w:widowControl/>
        <w:spacing w:after="40"/>
      </w:pPr>
      <w:r>
        <w:t>RECOVER,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The control meets the expected standard based on external evidence.</w:t>
      </w:r>
    </w:p>
    <w:p>
      <w:pPr>
        <w:pStyle w:val="ListParagraph"/>
        <w:widowControl/>
        <w:spacing w:after="40"/>
      </w:pPr>
      <w:r>
        <w:t>PARTIAL (score 40 to 69): The control is partially implemented but has gaps.</w:t>
      </w:r>
    </w:p>
    <w:p>
      <w:pPr>
        <w:pStyle w:val="ListParagraph"/>
        <w:widowControl/>
        <w:spacing w:after="40"/>
      </w:pPr>
      <w:r>
        <w:t>FAIL (score below 40): The control is absent or critically deficient.</w:t>
      </w:r>
    </w:p>
    <w:p>
      <w:pPr>
        <w:pStyle w:val="ListParagraph"/>
        <w:widowControl/>
        <w:spacing w:after="40"/>
      </w:pPr>
      <w:r>
        <w:t>NO_DATA: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such as access management policies, backup procedures, or physical security,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they are not theoretical risks.</w:t>
      </w:r>
    </w:p>
    <w:p>
      <w:pPr>
        <w:widowControl/>
        <w:spacing w:after="80"/>
      </w:pPr>
      <w:r>
        <w:rPr>
          <w:b/>
        </w:rPr>
        <w:t xml:space="preserve">Priority 2,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widowControl/>
        <w:spacing w:after="80"/>
      </w:pPr>
      <w:r>
        <w:rPr>
          <w:b/>
          <w:color w:val="003399"/>
        </w:rPr>
        <w:t xml:space="preserve">NOTE: </w:t>
      </w:r>
      <w:r>
        <w:t>Credential signals are combined conservatively. When multiple weaker credential indicators co-occur, their combined contribution is discounted by a flat factor of 0.3 rather than summed, reflecting the empirically low validity of leaked-credential corpora in credential-stuffing attacks (roughly 1 to 3 per cent of leaked pairs still authenticate). Recency of publication is deliberately not used as a freshness proxy, because the publication date of a breach list is not the age of the underlying credentials.</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 notification costs, credit monitoring, legal fees, reputational damage, and customer churn. The central (expected-loss) view computes C1 as the residual of the IBM SA breach anchor after C2-C5 are allocated. The catastrophe view computes C1 instead as a records-driven stand-alone liability: a realised catastrophe breach exposes approximately the full record base, so catastrophe-C1 equals the estimated records held multiplied by a per-record liability of R90, carrying a lognormal heavy tail, floored at the central residual. The R90 figure is the international class-action settlement anchor (Anthem approximately R27, Capital One approximately R33 and Equifax approximately R53 per affected person, plus legal and credit-monitoring load). For smaller organisations the residual floor dominates; for large consumer record-holders the records-driven term dominates. Because the IBM SA figure is an all-sizes AVERAGE (skewed upward by large-organisation breaches), that residual floor is tapered down for sub-large-cap entities - from about 30 percent of the modelled residual at R10 million of revenue, rising smoothly to the full residual by about R2 billion - so a smaller organisation's catastrophe is not over-stated by an average that does not fit its size. There is no cap: a small entity's modelled catastrophe can still exceed its annual revenue. The taper bounds are calibration parameters, configurable without redeployment.</w:t>
      </w:r>
    </w:p>
    <w:p>
      <w:pPr>
        <w:pStyle w:val="ListParagraph"/>
        <w:widowControl/>
        <w:spacing w:after="40"/>
      </w:pPr>
      <w:r>
        <w:t>C2: Regulatory fines per jurisdiction. The expected (P50) POPIA figure is enforcement-anchored as the probability of a fine given a breach (0.02) multiplied by the expected fine given that a fine is levied (R5 million), giving R100 000 expected. Both inputs are anchored to POPIA's entire administrative-fine record to date: two Section 109 fines (Department of Justice 2023 and Department of Basic Education 2024), each R5 million, both public-sector and both for failure to comply with an enforcement notice, with zero private-commercial fines. The catastrophe view uses the full R10 million Section 109 statutory ceiling, scaled by the enterprise capacity factor - but that factor is floored (at 0.80) for the POPIA and ECTA fixed-cap ceilings only, because a serious breach at even a small qualifying entity can attract most of those broadly-applicable statutory ceilings, so the fine is not discounted away by company size. The high discretionary sector ceilings (such as FSCA R100M and FIC R50M) keep scaling by the un-floored capacity factor, so a small qualifying entity is not modelled as facing most of a R100M sector ceiling. GDPR exposure (4% of global turnover, uncapped) and PCI DSS fines are added where the scan input toggles indicate they apply.</w:t>
      </w:r>
    </w:p>
    <w:p>
      <w:pPr>
        <w:pStyle w:val="ListParagraph"/>
        <w:widowControl/>
        <w:spacing w:after="40"/>
      </w:pPr>
      <w:r>
        <w:t>C3: Business interruption - revenue loss during recovery. The Monte Carlo recovery-time distribution is PERT(2, 14, 90) days (mode 14, mean approximately 24.7, maximum 90): the 14-day mode reflects a good incident-response / Sophos Rapid Response recovery, the approximately 25-day mean matches the Coveware and IBM 2025 average of around 24 days, and the 90-day maximum is the insurance indemnity-period cap. The central business-interruption figure retains a 25-day point estimate, equal to the new distribution mean.</w:t>
      </w:r>
    </w:p>
    <w:p>
      <w:pPr>
        <w:pStyle w:val="ListParagraph"/>
        <w:widowControl/>
        <w:spacing w:after="40"/>
      </w:pPr>
      <w:r>
        <w:t>C3 distinguishes two outage regimes. A ransomware or breach REBUILD recovers gradually - revenue loss easing from roughly 90 percent on day one to about 10 percent by the end of recovery - which averages to 50 percent over the recovery period regardless of how long that period runs (a linear 90-to-10 curve averages 50 percent whether recovery takes 25 days or 80, so this figure does not drift as recovery times change). An ACUTE outage such as a denial-of-service attack is a different regime: while it is live the service is simply down, at near-full revenue loss throughout, with no gradual-recovery tail to average against. Acute events (denial-of-service and the short opportunistic, silent and extortion legs) therefore use a flat 85 percent daily impact, independent of the average recovery period, while the longer rebuilds retain the 50 percent recovery average. Corrected on 5 June 2026; previously a single flat 50 percent had under-counted short, sharp outages.</w:t>
      </w:r>
    </w:p>
    <w:p>
      <w:pPr>
        <w:pStyle w:val="ListParagraph"/>
        <w:widowControl/>
        <w:spacing w:after="40"/>
      </w:pPr>
      <w:r>
        <w:t>C4: Ransom/extortion, set at 10.40% of total breach magnitude, proportional to the IBM SA data decomposition. This component is only activated for ransomware-family incidents.</w:t>
      </w:r>
    </w:p>
    <w:p>
      <w:pPr>
        <w:pStyle w:val="ListParagraph"/>
        <w:widowControl/>
        <w:spacing w:after="40"/>
      </w:pPr>
      <w:r>
        <w:t>C5: Incident response,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Vulnerability is a convex function of the 0-1000 risk score, the score divided by 1000 and raised to the power 1.8, so the modelled breach probability accelerates only toward the Critical band rather than rising linearly. The curve shape and the 0.30 loss-event-frequency scalar are anchored to published breach-likelihood evidence: the Cyentia IRIS small-and-medium-business annual loss-event rate (under 2%), BitSight and Marsh rating-to-incident absolutes (a rating above 700 corresponds to under 1%, and below 500 to roughly 3%), and the SecurityScorecard A-to-F breach-likelihood ladder, which is steeply convex. At a neutral threat environment the calibrated curve places a well-postured organisation under 2%, a mid-posture organisation around 5%, and a Critical-posture organisation at 12% and above.</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widowControl/>
        <w:spacing w:after="80"/>
      </w:pPr>
      <w:r>
        <w:t>Ransomware enters the expected annual loss as a FAIR loss-event frequency: the RSI score is multiplied by the same 0.30 loss-event-frequency scalar used for the data-breach leg, then partitioned across the ransomware incident types by their conditional shares. Reusing the breach scalar - rather than adding a separate threat-frequency term - keeps the ransomware and breach legs on a common FAIR basis and the expected annual loss internally consistent with the reported breach probability.</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while keeping memory use modest.</w:t>
      </w:r>
    </w:p>
    <w:p>
      <w:pPr>
        <w:widowControl/>
        <w:spacing w:after="80"/>
      </w:pPr>
      <w:r>
        <w:t>Key PERT parameters include SA recovery time PERT(2, 14, 90)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catastrophe-severity tiers (P99, P99.5, P99.6, reported as the 1-in-100 / 1-in-200 / 1-in-250 cover tiers).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Catastrophe tail: severity of a single severe event</w:t>
      </w:r>
    </w:p>
    <w:p>
      <w:pPr>
        <w:widowControl/>
        <w:spacing w:after="80"/>
      </w:pPr>
      <w:r>
        <w:t>The expected-loss and most-likely figures are computed by probability-weighting each incident type (annual probability multiplied by severity) - the expected annual loss. The catastrophe and cover-sizing figures are constructed differently: they report the SEVERITY of a single severe event - a full-stack double-extortion breach - at increasing percentiles of a severity distribution. They answer the question 'if a severe event occurs, how large would it be?', and are therefore CONDITIONAL on a severe event occurring and INDEPENDENT of security posture: posture changes the frequency of loss events, not the size of a realised one. A compound, loss-given-event annual distribution (each incident type drawn as a Bernoulli occurrence, full severity on occurrence) is also computed and retained in the JSON output for audit; its mean equals the probability-weighted expected loss, so the expected-loss and remediation figures are unchanged. Reporting the catastrophe tail as conditional severity prevents the cover view from collapsing toward zero as an organisation improves its posture: a realised data-breach or ransomware event remains expensive even for a well-defended firm.</w:t>
      </w:r>
    </w:p>
    <w:p>
      <w:pPr>
        <w:widowControl/>
        <w:spacing w:after="80"/>
      </w:pPr>
      <w:r>
        <w:rPr>
          <w:b/>
          <w:color w:val="003399"/>
        </w:rPr>
        <w:t xml:space="preserve">NOTE: </w:t>
      </w:r>
      <w:r>
        <w:t>Supply-chain catastrophe is handled without double-counting. The severity of a supplier-vectored breach is already inside the records-driven C1 liability, and the supply-chain signal raises the breach probability through a single vulnerability uplift. A correlated systemic supply-chain catastrophe, in which many insureds are compromised through one shared vendor (as in the MOVEit 2023 event), is an accumulation risk that is disclosed and managed at portfolio level rather than priced into an individual insured's loss number, mirroring the South African Covid-19 business-interruption precedent of disclosing rather than modelling correlated systemic loss.</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 - the first two are annual-loss scenarios; the last three are the SEVERITY of a single severe event, conditional on it occurring and therefore posture-independent:</w:t>
      </w:r>
    </w:p>
    <w:p>
      <w:pPr>
        <w:pStyle w:val="ListParagraph"/>
        <w:widowControl/>
        <w:spacing w:after="40"/>
      </w:pPr>
      <w:r>
        <w:t>Most Likely (mode), the peak of the loss distribution; the single most probable annual loss outcome.</w:t>
      </w:r>
    </w:p>
    <w:p>
      <w:pPr>
        <w:pStyle w:val="ListParagraph"/>
        <w:widowControl/>
        <w:spacing w:after="40"/>
      </w:pPr>
      <w:r>
        <w:t>Median (P50), half of all simulated outcomes fall below this figure. Reasonable anchor for premium-rating calculations.</w:t>
      </w:r>
    </w:p>
    <w:p>
      <w:pPr>
        <w:pStyle w:val="ListParagraph"/>
        <w:widowControl/>
        <w:spacing w:after="40"/>
      </w:pPr>
      <w:r>
        <w:t>Severe event (P99 severity), the severity of a single severe event at the 99th percentile of the severity distribution, conditional on a severe event occurring. A cover-sizing figure (how large a severe loss could be), NOT an annual frequency. Standard reinsurance / underwriting convention; reported under the 1-in-100 cover tier.</w:t>
      </w:r>
    </w:p>
    <w:p>
      <w:pPr>
        <w:pStyle w:val="ListParagraph"/>
        <w:widowControl/>
        <w:spacing w:after="40"/>
      </w:pPr>
      <w:r>
        <w:t>Extreme event (P99.5 severity), the next severity tier, aligned with the FSCA SAM (Solvency Assessment and Management) regime's catastrophe benchmark; reported under the 1-in-200 cover tier.</w:t>
      </w:r>
    </w:p>
    <w:p>
      <w:pPr>
        <w:pStyle w:val="ListParagraph"/>
        <w:widowControl/>
        <w:spacing w:after="40"/>
      </w:pPr>
      <w:r>
        <w:t>Catastrophic event (P99.6 severity), the extreme severity tier and the standard SAM / reinsurance catastrophe benchmark (reported as 1-in-250), GPD-fitted from the right tail of the severity distribution.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Probability and cover reporting views (FAIR decomposition)</w:t>
      </w:r>
    </w:p>
    <w:p>
      <w:pPr>
        <w:widowControl/>
        <w:spacing w:after="80"/>
      </w:pPr>
      <w:r>
        <w:t>The financial impact is reported across the three axes of the FAIR decomposition: a frequency view (annual probability), a severity view (the cover-sizing ladder below), and an expected-loss view (the estimated annual loss). These are presentation re-expressions of signals already scored elsewhere in the model; they introduce no new weighting and no double-counting.</w:t>
      </w:r>
    </w:p>
    <w:p>
      <w:pPr>
        <w:widowControl/>
        <w:spacing w:after="80"/>
      </w:pPr>
      <w:r>
        <w:t>Two annual-probability figures are reported, nested and separately defined, so that frequency is not confused with severity and the two probabilities are not confused with each other.</w:t>
      </w:r>
    </w:p>
    <w:p>
      <w:pPr>
        <w:pStyle w:val="ListParagraph"/>
        <w:widowControl/>
        <w:spacing w:after="40"/>
      </w:pPr>
      <w:r>
        <w:t>Data-breach probability is the FAIR loss-event frequency p_breach (Vulnerability x TEF x 0.30) defined above - the annual likelihood specifically of a data breach, meaning a confidentiality loss or exfiltration of records.</w:t>
      </w:r>
    </w:p>
    <w:p>
      <w:pPr>
        <w:pStyle w:val="ListParagraph"/>
        <w:widowControl/>
        <w:spacing w:after="40"/>
      </w:pPr>
      <w:r>
        <w:t>Total cyber-incident probability is the annual likelihood of any modelled cyber incident. It combines the breach channel and the ransomware channel as an independent union - one minus the product of one-minus-each-channel-probability - where the ransomware-channel frequency is the RSI score multiplied by the same 0.30 loss-event-frequency scalar used for the breach leg. It nests above the data-breach figure and is by construction always greater than or equal to it.</w:t>
      </w:r>
    </w:p>
    <w:p>
      <w:pPr>
        <w:widowControl/>
        <w:spacing w:after="80"/>
      </w:pPr>
      <w:r>
        <w:t>Each probability is graded against its own band set; reusing one band set across both figures would mislabel a typical multi-channel rate.</w:t>
      </w:r>
    </w:p>
    <w:p>
      <w:pPr>
        <w:pStyle w:val="ListParagraph"/>
        <w:widowControl/>
        <w:spacing w:after="40"/>
      </w:pPr>
      <w:r>
        <w:t>The data-breach probability is graded on firm public breach-rate bands: below 1% Strong, 1 to 2% Good, 2 to 3% Typical, 3 to 6% Elevated, 6 to 12% High, and above 12% Critical. These cut-offs follow the same published evidence as the probability curve - the Cyentia IRIS small-and-medium-business annual loss-event rate (under 2%), and the BitSight and SecurityScorecard rating-to-breach ladders.</w:t>
      </w:r>
    </w:p>
    <w:p>
      <w:pPr>
        <w:pStyle w:val="ListParagraph"/>
        <w:widowControl/>
        <w:spacing w:after="40"/>
      </w:pPr>
      <w:r>
        <w:t>The total cyber-incident probability is graded on a separate, relative multi-channel posture band set: below 8% Low, 8 to 18% Typical, 18 to 28% Elevated, and above 28% High (re-fit from 5/15/30 on 5 June 2026 so a genuinely low-risk posture can reach Low). These are relative-posture bands: the combined breach-and-ransomware rate sits above the per-organisation material-incident claims frequency reported by cyber insurers (Coalition's 2025 study: 1.2 percent a year below 25 million dollars of revenue, rising to 5.7 percent above 100 million; Cyentia IRIS under 2 percent for small and medium business), because it aggregates both channels as an index. They should be read as relative posture rather than a calibrated annual claim rate; a dedicated frequency-calibration pass on the ransomware loss-event frequency is a recorded next step.</w:t>
      </w:r>
    </w:p>
    <w:p>
      <w:pPr>
        <w:widowControl/>
        <w:spacing w:after="80"/>
      </w:pPr>
      <w:r>
        <w:t>A third and separate line reports an availability resilience indicator. It spans outage and availability risk arising from both denial-of-service and system or infrastructure-failure causes. Its base rate is FAIR-anchored to the Uptime Institute's annual outage analysis (the serious-or-severe outage rate, roughly 3 percent a year), with additive increments for the availability-relevant control gaps: absence of a CDN or DDoS-mitigation service (the primary lever), single-homed hosting on one autonomous system (secondary), and absence of a web application firewall (a smaller, layer-7-flood-only contribution, since most volumetric denial-of-service is absorbed at the CDN edge rather than the firewall). Because outage and system-failure cover varies between policies and over time it carries no statement of policy coverage. It describes the risk - the stable and prevalent fact - and is kept on its own line because it is a different risk type (availability rather than breach or extortion) measured on different signals.</w:t>
      </w:r>
    </w:p>
    <w:p>
      <w:pPr>
        <w:widowControl/>
        <w:spacing w:after="80"/>
      </w:pPr>
      <w:r>
        <w:rPr>
          <w:b/>
          <w:color w:val="003399"/>
        </w:rPr>
        <w:t xml:space="preserve">NOTE: </w:t>
      </w:r>
      <w:r>
        <w:t>The availability resilience indicator's base rate is now FAIR-anchored to published outage-frequency data; the per-control increments remain directional and the JSON output still flags the figure as not fully calibrated. It describes availability risk and is not presented as a coverage statement.</w:t>
      </w:r>
    </w:p>
    <w:p>
      <w:pPr>
        <w:widowControl/>
        <w:spacing w:after="80"/>
      </w:pPr>
      <w:r>
        <w:t>The cover-sizing ladder is a simplified three-tier view drawn from the same severity distribution as the Loss Exposure Scenarios table: a typical severe breach at the median severity (P50), a bad breach at the P95 severity, and a catastrophic breach at the 1-in-250 (P99.6) severity. The three tiers are used because the top return-period percentiles (P99, P99.5 and P99.6) compress to within roughly 7% of one another, so a P50-to-P99.6 spread gives the broker a more meaningful cover band. The ladder reports the severity of a single severe event and is therefore posture-independent: the figures do not move with the security score, consistent with the compound catastrophe construction described above. Cover selection remains the responsibility of the insured in consultation with the broker.</w:t>
      </w:r>
    </w:p>
    <w:p>
      <w:pPr>
        <w:widowControl/>
        <w:spacing w:after="80"/>
      </w:pPr>
      <w:r>
        <w:t>The expected-loss remediation panel is presented frequency-first. It leads with the movement in the data-breach probability and its grade, before and after the modelled remediations, with the percentage reduction in modelled annual exposure and the catastrophe cover figure (the 1-in-250 severity) as context. Because severity is posture-independent, the catastrophe cover figure is unchanged by remediation - remediation lowers the likelihood of a loss, not the worst-case severity of one. The absolute Rand saving is retained as a secondary figure.</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0.80 (floored) = R8M; ECTA R1M x 0.80 (floored) = R0.8M; CPA 10% x R200M = R20M (no factor - percentage already scales); FSCA R100M x 0.65 = R65M; FIC R50M x 0.65 = R32.5M; JSE R7.5M x 0.65 = R4.875M. Total cat stack: approximately R131.2M. The same entity at R10M revenue (capacity factor 0.15, with POPIA/ECTA still floored to 0.80 but the sector lines scaling at 0.15) would face approximately R33.4M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RSI reduction of 0.05 to 0.09 per step. Significant security improvements that should be addressed within 30 days. Examples: deploying a WAF, implementing DMARC, resetting leaked credentials.</w:t>
      </w:r>
    </w:p>
    <w:p>
      <w:pPr>
        <w:pStyle w:val="ListParagraph"/>
        <w:widowControl/>
        <w:spacing w:after="40"/>
      </w:pPr>
      <w:r>
        <w:t>P3 (Medium):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6.0 Reading a report: "not assessed" is not "clean"</w:t>
      </w:r>
    </w:p>
    <w:p>
      <w:pPr>
        <w:widowControl/>
        <w:spacing w:after="80"/>
      </w:pPr>
      <w:r>
        <w:t>Before any individual card, one distinction governs how every report in this manual should be read. A checker can end a scan in one of three states, and only two of them are verdicts:</w:t>
      </w:r>
    </w:p>
    <w:p>
      <w:pPr>
        <w:pStyle w:val="ListParagraph"/>
        <w:widowControl/>
        <w:spacing w:after="40"/>
      </w:pPr>
      <w:r>
        <w:t>ASSESSED, nothing found - the checker reached the target, looked, and found no issue. This is a genuine clean result and is scored as one.</w:t>
      </w:r>
    </w:p>
    <w:p>
      <w:pPr>
        <w:pStyle w:val="ListParagraph"/>
        <w:widowControl/>
        <w:spacing w:after="40"/>
      </w:pPr>
      <w:r>
        <w:t>ASSESSED, issue found - the checker looked and found something. Scored on the finding.</w:t>
      </w:r>
    </w:p>
    <w:p>
      <w:pPr>
        <w:pStyle w:val="ListParagraph"/>
        <w:widowControl/>
        <w:spacing w:after="40"/>
      </w:pPr>
      <w:r>
        <w:t>NOT ASSESSED - the checker could not look at all. A web application firewall refused every probe, an API key was absent or out of credit, or the host did not answer. No verdict is possible, so none is given.</w:t>
      </w:r>
    </w:p>
    <w:p>
      <w:pPr>
        <w:widowControl/>
        <w:spacing w:after="80"/>
      </w:pPr>
      <w:r>
        <w:t>The third state is the one that matters commercially, because the raw data of a blocked check and a clean check are identical: both produce zero findings. A checker that cannot distinguish them will report a wall as an all-clear. Every card that could be blinded therefore now states its own status, and the report says "Not assessed" in place of a score, with the reason (blocked by a WAF or CDN, no API key, credit exhausted, host unreachable).</w:t>
      </w:r>
    </w:p>
    <w:p>
      <w:pPr>
        <w:widowControl/>
        <w:spacing w:after="80"/>
      </w:pPr>
      <w:r>
        <w:rPr>
          <w:b/>
          <w:color w:val="B40000"/>
        </w:rPr>
        <w:t xml:space="preserve">WARNING: </w:t>
      </w:r>
      <w:r>
        <w:t>An unassessed area is an open question, not a pass. It should be raised in the client conversation and, where the cause is fixable (a missing API key, an exhausted credit balance), the scan should be re-run before the report is relied upon for a placement decision.</w:t>
      </w:r>
    </w:p>
    <w:p>
      <w:pPr>
        <w:widowControl/>
        <w:spacing w:after="80"/>
      </w:pPr>
      <w:r>
        <w:t>Scoring follows the same rule. An unassessed checker is EXCLUDED from the composite and its weight is redistributed across the checkers that did return data, rather than being filled in with an assumed value. The practical consequence is that a heavily blocked scan tends to score WORSE, not better: the organisation no longer receives credit for checks that never ran. A score produced at reduced coverage is therefore not directly comparable with one produced at full coverage, and the coverage percentage shown alongside it should be quoted whenever the score is.</w:t>
      </w:r>
    </w:p>
    <w:p>
      <w:pPr>
        <w:widowControl/>
        <w:spacing w:after="80"/>
      </w:pPr>
      <w:r>
        <w:rPr>
          <w:b/>
          <w:color w:val="003399"/>
        </w:rPr>
        <w:t xml:space="preserve">NOTE: </w:t>
      </w:r>
      <w:r>
        <w:t>Partial coverage is normal and is not a fault of the target. Many well-defended organisations block automated probing precisely because they are well defended - the same WAF that protects them also limits what an external assessment can observe. The report distinguishes "we could not see" from "there is nothing to see" so that this is never read as a weakness where it is not one.</w:t>
      </w:r>
    </w:p>
    <w:p>
      <w:pPr>
        <w:widowControl/>
        <w:spacing w:after="80"/>
      </w:pPr>
      <w:r>
        <w:rPr>
          <w:b/>
        </w:rPr>
        <w:t>Refused is not the same as blinded</w:t>
      </w:r>
      <w:r/>
    </w:p>
    <w:p>
      <w:pPr>
        <w:widowControl/>
        <w:spacing w:after="80"/>
      </w:pPr>
      <w:r>
        <w:t>One case deserves separating from the rest, because it looks identical on the wire and means the opposite. Four checks ask only whether something is publicly retrievable: sensitive files such as .env or a database backup, an administrator login page, a remote-access gateway, and a dependency manifest. Every path they request is one a properly configured server ought to refuse. When such a server answers HTTP 403 to all of them, it has not blocked the assessment - it has ANSWERED it. The file is not publicly retrievable, which is precisely the question asked, and the result is a genuine clean one.</w:t>
      </w:r>
    </w:p>
    <w:p>
      <w:pPr>
        <w:widowControl/>
        <w:spacing w:after="80"/>
      </w:pPr>
      <w:r>
        <w:t>The scanner separates the two with a control request for the site's home page, a page nobody has reason to deny. If the home page answers normally while the sensitive paths are refused, the server was talking to us throughout and the refusals are deliberate access control: the check is recorded as assessed and clean, and the report says so in words. If the home page is refused as well, the target is genuinely walled off, and the check is recorded as not assessed as described above. Checks that ask what something IS rather than whether it is reachable - security headers, software versions, cookie flags, payment page handling - gain nothing from a 403 and are always treated as not assessed when refused.</w:t>
      </w:r>
    </w:p>
    <w:p>
      <w:pPr>
        <w:widowControl/>
        <w:spacing w:after="80"/>
      </w:pPr>
      <w:r>
        <w:rPr>
          <w:b/>
          <w:color w:val="003399"/>
        </w:rPr>
        <w:t xml:space="preserve">NOTE: </w:t>
      </w:r>
      <w:r>
        <w:t>This distinction also governs the WAF card. Because a wholly blinded check is evidence of a blocking layer, treating correct hardening as blindness previously caused the report to announce active blocking on sites that had no WAF at all - while simultaneously withholding credit for the hardening. Both readings are now correct: good configuration is credited, and a genuine absence of a WAF is still charged for.</w:t>
      </w:r>
    </w:p>
    <w:p>
      <w:pPr>
        <w:widowControl/>
        <w:spacing w:after="80"/>
      </w:pPr>
      <w:r>
        <w:rPr>
          <w:b/>
        </w:rPr>
        <w:t>Rate limiting is not a web application firewall</w:t>
      </w:r>
      <w:r/>
    </w:p>
    <w:p>
      <w:pPr>
        <w:widowControl/>
        <w:spacing w:after="80"/>
      </w:pPr>
      <w:r>
        <w:t>A related question comes up whenever a scan slows down: the target started refusing requests part-way through, so does it have a firewall? Usually not. Rate limiting is available from an ordinary web server (nginx and Apache both ship it), from the application framework, from shared-hosting defaults, and from any load balancer. It is a protection, but it is not evidence of a web application firewall specifically, and the report does not treat it as one.</w:t>
      </w:r>
    </w:p>
    <w:p>
      <w:pPr>
        <w:widowControl/>
        <w:spacing w:after="80"/>
      </w:pPr>
      <w:r>
        <w:t>The response code separates the two cases, and the scanner now distinguishes them. HTTP 429, Too Many Requests, is a deliberate policy declining to serve us and is recorded as such. HTTP 503, Service Unavailable, usually means the origin ran out of capacity - its worker pool was exhausted - and a busy assessment is itself a common cause. The second is a symptom, frequently one the scan provoked, so it reduces coverage and is reported honestly as reduced coverage, but it is never offered as evidence that a security control exists.</w:t>
      </w:r>
    </w:p>
    <w:p>
      <w:pPr>
        <w:widowControl/>
        <w:spacing w:after="80"/>
      </w:pPr>
      <w:r>
        <w:rPr>
          <w:b/>
          <w:color w:val="B40000"/>
        </w:rPr>
        <w:t xml:space="preserve">WARNING: </w:t>
      </w:r>
      <w:r>
        <w:t>Repeated scans of the same domain in quick succession can provoke this on smaller sites and will degrade the result. Where several assessments of one target are needed, space them out rather than running them back to back.</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what an attacker can learn from publicly available information about the target, (2) Weaponisation, how discovered vulnerabilities and leaked credentials could be combined into an attack toolkit, (3) Delivery &amp; Exploitation, the most likely attack vectors such as phishing with leaked credentials, exploiting unpatched services, or abusing misconfigured email authentication, and (4) Impact,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branded cover with target domain, scan date, and overall risk score gauge.</w:t>
      </w:r>
    </w:p>
    <w:p>
      <w:pPr>
        <w:pStyle w:val="ListParagraph"/>
        <w:widowControl/>
        <w:spacing w:after="40"/>
      </w:pPr>
      <w:r>
        <w:t>Executive Summary, high-level risk posture with key metrics (overall score, critical issues, breach count, credential exposure, estimated financial impact range).</w:t>
      </w:r>
    </w:p>
    <w:p>
      <w:pPr>
        <w:pStyle w:val="ListParagraph"/>
        <w:widowControl/>
        <w:spacing w:after="40"/>
      </w:pPr>
      <w:r>
        <w:t>Vulnerability Posture, simplified severity breakdown focusing on critical and high-severity findings only, with plain-language explanations.</w:t>
      </w:r>
    </w:p>
    <w:p>
      <w:pPr>
        <w:pStyle w:val="ListParagraph"/>
        <w:widowControl/>
        <w:spacing w:after="40"/>
      </w:pPr>
      <w:r>
        <w:t>Attacker's View, abbreviated kill chain narrative highlighting the most impactful attack paths.</w:t>
      </w:r>
    </w:p>
    <w:p>
      <w:pPr>
        <w:pStyle w:val="ListParagraph"/>
        <w:widowControl/>
        <w:spacing w:after="40"/>
      </w:pPr>
      <w:r>
        <w:t>Financial Impact Summary, RSI score, DBI score, and hybrid-model estimated loss range presented in a broker-friendly format with clear rand-value ranges.</w:t>
      </w:r>
    </w:p>
    <w:p>
      <w:pPr>
        <w:pStyle w:val="ListParagraph"/>
        <w:widowControl/>
        <w:spacing w:after="40"/>
      </w:pPr>
      <w:r>
        <w:t>'Why This Matters' Section,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No issues found or the configuration meets best-practice standards. No action required.</w:t>
      </w:r>
    </w:p>
    <w:p>
      <w:pPr>
        <w:pStyle w:val="ListParagraph"/>
        <w:widowControl/>
        <w:spacing w:after="40"/>
      </w:pPr>
      <w:r>
        <w:t>Amber circle: Minor issues or partial implementation detected. Improvement is recommended but the risk is moderate.</w:t>
      </w:r>
    </w:p>
    <w:p>
      <w:pPr>
        <w:pStyle w:val="ListParagraph"/>
        <w:widowControl/>
        <w:spacing w:after="40"/>
      </w:pPr>
      <w:r>
        <w:t>Red circle: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contains the traffic-light indicator, the checker name, and a one-line summary of the finding (e.g., 'SPF record is valid but could be stricter').</w:t>
      </w:r>
    </w:p>
    <w:p>
      <w:pPr>
        <w:pStyle w:val="ListParagraph"/>
        <w:widowControl/>
        <w:spacing w:after="40"/>
      </w:pPr>
      <w:r>
        <w:t>Data Table,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a plain-language paragraph explaining the significance of the findings for a non-technical reader. This section answers the question: 'Why should I care?'</w:t>
      </w:r>
    </w:p>
    <w:p>
      <w:pPr>
        <w:pStyle w:val="ListParagraph"/>
        <w:widowControl/>
        <w:spacing w:after="40"/>
      </w:pPr>
      <w:r>
        <w:t>'Recommended Actions',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including the actual passwords,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counts only (number of exposed accounts, infected devices, services). No identifiers.</w:t>
      </w:r>
    </w:p>
    <w:p>
      <w:pPr>
        <w:pStyle w:val="ListParagraph"/>
        <w:widowControl/>
        <w:spacing w:after="40"/>
      </w:pPr>
      <w:r>
        <w:t>Broker Summary: 2-3 partially-masked example accounts / services plus summarised counts. No passwords.</w:t>
      </w:r>
    </w:p>
    <w:p>
      <w:pPr>
        <w:pStyle w:val="ListParagraph"/>
        <w:widowControl/>
        <w:spacing w:after="40"/>
      </w:pPr>
      <w:r>
        <w:t>Full Technical Report: enumerated, partially-masked accounts, a per-service summary, infection dates, and stealer families. No passwords.</w:t>
      </w:r>
    </w:p>
    <w:p>
      <w:pPr>
        <w:pStyle w:val="ListParagraph"/>
        <w:widowControl/>
        <w:spacing w:after="40"/>
      </w:pPr>
      <w:r>
        <w:t>Encrypted Credential Export (on request):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demonstrating the findings are real, while an outsider cannot reconstruct them.</w:t>
      </w:r>
    </w:p>
    <w:p>
      <w:pPr>
        <w:widowControl/>
        <w:spacing w:after="80"/>
      </w:pPr>
      <w:r>
        <w:rPr>
          <w:b/>
        </w:rPr>
        <w:t xml:space="preserve">Export file format, date-clustered, with a confidence column: </w:t>
      </w:r>
      <w:r>
        <w:t>The encrypted CSV is sorted newest-first and carries the same recency clustering the dashboard shows, so the client can act on the freshest circulation first. Columns: record_type, source, date, recency_band, match_type, confidence, email, username, password, hashed_password, note. Two record types appear in the one file: 'credential' (a DeHashed leak record, which may include a password) and 'leak_reference' (an IntelX stealer-log posting that references the domain). Each credential inherits its source's breach-date guesstimate and recency band; note that this is a per-SOURCE date, not a per-record date (DeHashed records carry no reliable individual date).</w:t>
      </w:r>
    </w:p>
    <w:p>
      <w:pPr>
        <w:widowControl/>
        <w:spacing w:after="80"/>
      </w:pPr>
      <w:r>
        <w:rPr>
          <w:b/>
        </w:rPr>
        <w:t xml:space="preserve">The confidence column, and why it governs breach-probability decisions: </w:t>
      </w:r>
      <w:r>
        <w:t>Not every hit is a stolen credential, and the confidence column makes that explicit. HIGH = a secret was actually captured (a plaintext password, or an Autofill / Passwords / credit-card store in a stealer log). MEDIUM = session data (cookies) or a hashed password. LOW = the site was merely referenced (a browser-History entry) or the domain appears in an aggregated multi-domain dump that lists thousands of sites. The distinction is decisive for underwriting: a LOW-confidence match is a MONITORING signal, not evidence of compromise, and should NOT on its own be read as raising the breach probability. To act on a low-confidence hit, or to justify any uplift to the probability of breach / RSI, request a content-fetch of the specific named dump to confirm whether a phishield credential (not just a visited URL) was actually exposed.</w:t>
      </w:r>
    </w:p>
    <w:p>
      <w:pPr>
        <w:widowControl/>
        <w:spacing w:after="80"/>
      </w:pPr>
      <w:r>
        <w:rPr>
          <w:b/>
          <w:color w:val="003399"/>
        </w:rPr>
        <w:t xml:space="preserve">NOTE: </w:t>
      </w:r>
      <w:r>
        <w:t>Worked example: a domain may show recent (30-90 day) leak references that are ALL low-confidence (aggregated indexes plus a single browser-History entry), while its only high-confidence rows are years-old password records from a re-circulated combo list. The honest reading is 'recently CIRCULATING, but no fresh high-confidence theft', the catastrophe model is unaffected, but the probability-of-breach input should not be inflated by the low-confidence freshness alone.</w:t>
      </w:r>
    </w:p>
    <w:p>
      <w:pPr>
        <w:widowControl/>
        <w:spacing w:after="80"/>
      </w:pPr>
      <w:r>
        <w:rPr>
          <w:b/>
        </w:rPr>
        <w:t xml:space="preserve">Operator workflow (broker / scanner user): </w:t>
      </w:r>
      <w:r/>
    </w:p>
    <w:p>
      <w:pPr>
        <w:pStyle w:val="ListParagraph"/>
        <w:widowControl/>
        <w:spacing w:after="40"/>
      </w:pPr>
      <w:r>
        <w:t>1. Confirm the client's SIGNED CONSENT has been obtained, then record the authorisation in the export portal: tick the consent attestation, enter the authorising user, and optionally a consent reference (for example the signed-form ID). This is the authorisation gate and the FAIS / POPIA audit trail: the scanner writes an audit record of who authorised the export, when, for which domain, and whether the one-time link was later collected. Retain the signed consent form itself in your own records.</w:t>
      </w:r>
    </w:p>
    <w:p>
      <w:pPr>
        <w:pStyle w:val="ListParagraph"/>
        <w:widowControl/>
        <w:spacing w:after="40"/>
      </w:pPr>
      <w:r>
        <w:t>2. Obtain the client's age PUBLIC key (the client generates it,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without it the file cannot be opened.</w:t>
      </w:r>
    </w:p>
    <w:p>
      <w:pPr>
        <w:widowControl/>
        <w:spacing w:after="80"/>
      </w:pPr>
      <w:r>
        <w:rPr>
          <w:b/>
        </w:rPr>
        <w:t xml:space="preserve">Client guide,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treat it like any breach dump. Decrypt only on a secure workstation, action the password resets and MFA enrolment, then securely delete the file. The scanner itself never stores passwords, and none of the rendered reports (deck, broker summary, full report) or the interactive dashboard ever contain passwords. Leaked account identifiers are masked at every output boundary (the API, the dashboard, and every PDF); only this consented, encrypted export carries the unmasked detail.</w:t>
      </w:r>
    </w:p>
    <w:p>
      <w:pPr>
        <w:widowControl/>
        <w:spacing w:after="80"/>
      </w:pPr>
      <w:r>
        <w:rPr>
          <w:b/>
          <w:color w:val="003399"/>
        </w:rPr>
        <w:t xml:space="preserve">NOTE: </w:t>
      </w:r>
      <w:r>
        <w:t>Why public-key (age) over a shared password: with age, only the client's private key, which never leaves them,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classically carries a 1% annual exceedance probability). In this report the 1-in-100 / 1-in-200 / 1-in-250 names are used for the P99 / P99.5 / P99.6 SEVERITY tiers - the severity of a single severe event, conditional on it occurring and therefore posture-independent - NOT literal annual frequencies. They are surfaced as the Loss Exposure Scenarios and Cover-Sizing Ladder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v2.0: July 2026</w:t>
      </w:r>
      <w:r>
        <w:t xml:space="preserve"> Major revision.</w:t>
      </w:r>
    </w:p>
    <w:p>
      <w:pPr>
        <w:widowControl/>
        <w:spacing w:after="80"/>
      </w:pPr>
      <w:r>
        <w:t>This release brings the manual current with the scanner development delivered since the v1.0 initial release. The changes are listed below with the date each landed.</w:t>
      </w:r>
    </w:p>
    <w:p>
      <w:pPr>
        <w:pStyle w:val="ListParagraph"/>
        <w:widowControl/>
        <w:spacing w:after="40"/>
      </w:pPr>
      <w:r>
        <w:t>2026-07-27: Researched breach history now carries scoring weight, on RECENCY rather than count. The dated result supersedes the HIBP count in the same breach-history slot at the same weight (no double-count; HIBP retained as a floor), supplies the Data Breach Resilience recency component that previously depended on a HIBP date absent for almost every South African domain, and adds a repeat-victimisation factor to the Ransomware Susceptibility Index weighted by quarter through the first year, since the post-breach recovery window is itself the period of elevated risk. A scan that could not research the history reports it as UNASSESSED and contributes nothing, never as clean. The Exposure page gained a dedicated Breach History panel showing the verdict, the dated incidents with records and root cause, and the cited sources; the scan form shows whether the web-search key is live before a scan is run.</w:t>
      </w:r>
    </w:p>
    <w:p>
      <w:pPr>
        <w:pStyle w:val="ListParagraph"/>
        <w:widowControl/>
        <w:spacing w:after="40"/>
      </w:pPr>
      <w:r>
        <w:t>2026-07-27: Web-corroborated breach discovery added to the breach-history checker (Section 4.6.1). Because HIBP's breaches-by-domain catalogue is thin, the scanner now corroborates breaches from dated open-source intelligence (reputable news and ransomware leak-site listings) and then RESEARCHES the question with a deep, multi-provider answer engine that reads the source pages, iterates on gaps, and cites its sources. This recovers the date a breach actually occurred, the records affected and the root cause, none of which HIBP or a headline scrape provides. Conservative by design and degrades gracefully to a deterministic verdict when the research layer is unavailable.</w:t>
      </w:r>
    </w:p>
    <w:p>
      <w:pPr>
        <w:pStyle w:val="ListParagraph"/>
        <w:widowControl/>
        <w:spacing w:after="40"/>
      </w:pPr>
      <w:r>
        <w:t>2026-07-20: Sensitive-credential handling hardened end to end. Leaked account identifiers are now masked at every serving boundary (the API, the interactive dashboard, and every PDF), not only in the report tiers. The encrypted credential export (Section 6.4) was wired to its authorisation flow: a consent attestation plus the authorising user are required, the file is encrypted to the client's key and delivered strictly as a server-issued one-time link that expires and is deleted on first download, and every authorised export is written to an audit trail.</w:t>
      </w:r>
    </w:p>
    <w:p>
      <w:pPr>
        <w:pStyle w:val="ListParagraph"/>
        <w:widowControl/>
        <w:spacing w:after="40"/>
      </w:pPr>
      <w:r>
        <w:t>2026-07-06: Retired the legacy Render free-tier deployment; the Google Cloud VM is now the sole production instance. The scanner's public self-identification (User-Agent and scanner-info page) was updated to the VM and its single static outbound IP.</w:t>
      </w:r>
    </w:p>
    <w:p>
      <w:pPr>
        <w:pStyle w:val="ListParagraph"/>
        <w:widowControl/>
        <w:spacing w:after="40"/>
      </w:pPr>
      <w:r>
        <w:t>2026-07-03: Reconciled the manual against current scanner behaviour: dual-source Certificate Transparency subdomain enumeration (crt.sh and certspotter, with a low-coverage flag), CVE version-gating disclosure (CVEs shown as 'potential, unconfirmed' where the exact software version is not fingerprinted), and the production endpoint moved to the Google Cloud VM at veilguard.phishield.com/scanner. Includes a document-wide readability and punctuation pass.</w:t>
      </w:r>
    </w:p>
    <w:p>
      <w:pPr>
        <w:pStyle w:val="ListParagraph"/>
        <w:widowControl/>
        <w:spacing w:after="40"/>
      </w:pPr>
      <w:r>
        <w:t>2026-06-08: Catastrophe-model mid-market calibration: a revenue-band taper and a POPIA/ECTA-scoped regulatory fine floor, with cyber-band, SPF/DMARC and availability frequency and severity refinements.</w:t>
      </w:r>
    </w:p>
    <w:p>
      <w:pPr>
        <w:pStyle w:val="ListParagraph"/>
        <w:widowControl/>
        <w:spacing w:after="40"/>
      </w:pPr>
      <w:r>
        <w:t>2026-06-05: Catastrophe-model redesign and FAIR reporting-card pass, with email-security accuracy improvements.</w:t>
      </w:r>
    </w:p>
    <w:p>
      <w:pPr>
        <w:pStyle w:val="ListParagraph"/>
        <w:widowControl/>
        <w:spacing w:after="40"/>
      </w:pPr>
      <w:r>
        <w:t>2026-06-02: Credential-exposure correlation now counts password-bearing records specifically; the encrypted export gained recency clustering and leak-reference confidence; the manual was brought current with the Waves 1 to 6 behavioural changes.</w:t>
      </w:r>
    </w:p>
    <w:p>
      <w:pPr>
        <w:pStyle w:val="ListParagraph"/>
        <w:widowControl/>
        <w:spacing w:after="40"/>
      </w:pPr>
      <w:r>
        <w:t>2026-06-01: Added the sensitive-credential disclosure tiers and the encrypted credential export (Section 6.4).</w:t>
      </w:r>
    </w:p>
    <w:p>
      <w:pPr>
        <w:pStyle w:val="ListParagraph"/>
        <w:widowControl/>
        <w:spacing w:after="40"/>
      </w:pPr>
      <w:r>
        <w:t>2026-05-29: Documented RDP and origin-discovery handling, the B2C and PCI regulatory flags, and the P50 headline correction.</w:t>
      </w:r>
    </w:p>
    <w:p>
      <w:pPr>
        <w:pStyle w:val="ListParagraph"/>
        <w:widowControl/>
        <w:spacing w:after="40"/>
      </w:pPr>
      <w:r>
        <w:t>2026-05-28: Added the Hudson Rock, S-4 and S-5 cross-correlation, scoped as reporting-only so it does not double-count in scoring.</w:t>
      </w:r>
    </w:p>
    <w:p>
      <w:pPr>
        <w:pStyle w:val="ListParagraph"/>
        <w:widowControl/>
        <w:spacing w:after="40"/>
      </w:pPr>
      <w:r>
        <w:t>2026-05-27: Added the supply-chain checker layer (related domains, third-party JavaScript, exposed dependency manifests, email-vendor surface, vendor-breach correlation, and CMS plugin surface); removed the earlier catastrophe-tail double-count; folded in the Q&amp;A audit fixes.</w:t>
      </w:r>
    </w:p>
    <w:p>
      <w:pPr>
        <w:pStyle w:val="ListParagraph"/>
        <w:widowControl/>
        <w:spacing w:after="40"/>
      </w:pPr>
      <w:r>
        <w:t>2026-05-18: Documented the WAF partial-coverage adjustment.</w:t>
      </w:r>
    </w:p>
    <w:p>
      <w:pPr>
        <w:pStyle w:val="ListParagraph"/>
        <w:widowControl/>
        <w:spacing w:after="40"/>
      </w:pPr>
      <w:r>
        <w:t>2026-05-15: FAIR financial-impact overhaul: 1-in-50, 1-in-100 and 1-in-150 return-period worst-case views, the sector regulatory catastrophe stack, and FAIS-safe 'Loss Exposure Scenarios' disclosure. Added the records-based Cat Modelling Validity Notice, peer benchmarking with a 1.0 to 10.0 peer rating, the WAF-friendly HTTP architecture, and the auto-detect to broker to cat-stack input flow.</w:t>
      </w:r>
    </w:p>
    <w:p>
      <w:pPr>
        <w:pStyle w:val="ListParagraph"/>
        <w:widowControl/>
        <w:spacing w:after="40"/>
      </w:pPr>
      <w:r>
        <w:t>2026-04-20: Regenerated for the hybrid financial-impact model, sub-industry selection, and GDPR and PCI inputs.</w:t>
      </w:r>
    </w:p>
    <w:p>
      <w:pPr>
        <w:pStyle w:val="ListParagraph"/>
        <w:widowControl/>
        <w:spacing w:after="40"/>
      </w:pPr>
      <w:r>
        <w:t>2026-04-16: Hybrid financial-impact model engine rewrite.</w:t>
      </w:r>
    </w:p>
    <w:p>
      <w:pPr>
        <w:widowControl/>
        <w:spacing w:after="80"/>
      </w:pPr>
      <w:r>
        <w:rPr>
          <w:b/>
        </w:rPr>
        <w:t>v1.0: April 2026</w:t>
      </w:r>
      <w:r>
        <w:t xml:space="preserve"> 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