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color w:val="003399"/>
        </w:rPr>
        <w:t xml:space="preserve">NOTE: </w:t>
      </w:r>
      <w:r>
        <w:t>Detected means a named VENDOR was fingerprinted from response headers, cookies or the Server token. Body-text matching is deliberately not used, because vendor names appearing incidentally in page content produced phantom positives. An unbranded or self-hosted blocking layer therefore fingerprints as nothing, which is not the same as being absent. Where the scan is actively refused but no vendor matches, the card reads "Blocking observed - vendor unidentified" at neutral severity: the no-WAF penalty is withheld because absence cannot be asserted, and the detected-WAF credit is withheld too because nothing was confirmed. A wall of refusals may equally be a bot manager, a CDN rule or plain authentication.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widowControl/>
        <w:spacing w:after="80"/>
      </w:pPr>
      <w:r>
        <w:rPr>
          <w:b/>
        </w:rPr>
        <w:t xml:space="preserve">Whose exposure is it? </w:t>
      </w:r>
      <w:r>
        <w:t>On shared or managed hosting the database ports belong to the platform, not to the client. They listen for every tenant on the machine and would be open whether that client has ten databases or none, so charging the finding to the insured overstates their own attack surface and produces a remediation instruction they have no ability to carry out. Reverse DNS and network ownership cannot separate the two cases, because the larger providers sell both customer-operated servers and managed hosting from the same address space under the same name.</w:t>
      </w:r>
    </w:p>
    <w:p>
      <w:pPr>
        <w:widowControl/>
        <w:spacing w:after="80"/>
      </w:pPr>
      <w:r>
        <w:t>The scanner distinguishes them by the certificate the server presents when a connection is opened without naming a host. That default certificate is the platform's own identity: a single-tenant server presents the client's certificate either way, whereas a multi-tenant platform presents the provider's and serves the client's only once the connection names them. Where the default certificate does not cover the insured's domain, the host is treated as vendor-operated and its exposures are reported as a supply-chain dependency rather than as the client's own. A real August 2026 assessment reached a hosting platform whose default certificate belonged to the provider while the client held a single virtual host on it; the exposed database services were the provider's to close.</w:t>
      </w:r>
    </w:p>
    <w:p>
      <w:pPr>
        <w:widowControl/>
        <w:spacing w:after="80"/>
      </w:pPr>
      <w:r>
        <w:t>The test is applied only when it returns a clear answer. If the certificate cannot be read the host keeps its existing classification and remains fully scanned, because wrongly re-homing a client's own server to a vendor would quietly remove genuine exposures from the assessment. The finding still matters to an underwriter either way; what changes is who is accountable for it and what the client can reasonably be asked to do.</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color w:val="003399"/>
        </w:rPr>
        <w:t xml:space="preserve">NOTE: </w:t>
      </w:r>
      <w:r>
        <w:t>HIBP is a supplementary source, not the primary one. Its breach API requires a paid key, and for most South African domains it returns nothing even when a breach is a matter of public record. The researched breach-history checker (section 4.6.2) is the authority for whether an organisation has been breached. Two consequences follow. Without an API key this card reports NOT ASSESSED rather than zero breaches - it cannot have looked. And a missing HIBP key does NOT by itself make the breach picture unknown: if the research reached a verdict, including a verdict of no breach found, that verdict stands and is scored on its own merits.</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widowControl/>
        <w:spacing w:after="80"/>
      </w:pPr>
      <w:r>
        <w:rPr>
          <w:b/>
        </w:rPr>
        <w:t xml:space="preserve">Where it appears in the outputs: </w:t>
      </w:r>
      <w:r>
        <w:t>The full technical report opens the Exposure and Reputation section with a Breach History card carrying the verdict, the date of the most recent incident and how long ago it was, each dated incident with the records affected and root cause where the sources state them, and the sources cited. The interactive dashboard carries the same panel at the top of the Exposure page. Where the research could not run, both render the unassessed state with an explicit caveat rather than a clean result, so the distinction survives into the client-facing document.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 Vulnerabilities supplied by an external intelligence source are held to the same standard but reported differently. Those lists are derived from software fingerprints the provider infers from a banner, and they are frequently wrong about version: one August 2026 scan carried a MariaDB advisory affecting releases before 10.1.30 against a server whose own banner reported 10.11.18. Such a finding is now labelled either externally reported, version not confirmed, or version contradicted, the latter naming both the version in which the issue was fixed and the version the host actually reports. The finding is never silently removed. Suppressing it on an automated reading of an advisory's prose risks discarding a real vulnerability, so the scanner states how far the claim was corroborated and leaves the judgement visible.</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color w:val="B40000"/>
        </w:rPr>
        <w:t xml:space="preserve">WARNING: </w:t>
      </w:r>
      <w:r>
        <w:t>Fail-closed behaviour. If the Dehashed lookup cannot run - no API key, rejected credentials, exhausted credits, a subscription problem or a transport failure - the card reports NOT ASSESSED and is excluded from scoring. It does NOT report zero exposed credentials. Previously an unusable provider produced an empty result that was indistinguishable from a genuinely clean estate and scored as one; the credential-risk classifier likewise now returns UNKNOWN rather than the reassuring "LOW - exposure is historical and/or email-only" summary. See section 6.0.</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color w:val="B40000"/>
        </w:rPr>
        <w:t xml:space="preserve">WARNING: </w:t>
      </w:r>
      <w:r>
        <w:t>Fail-closed behaviour. IntelX signals an exhausted daily search allowance by returning a success response with no search identifier, which earlier read as "searched, nothing circulating" - identical to a genuinely clean domain. That state, a refused result poll, and a search that never concludes are now all reported as NOT ASSESSED and excluded from scoring. The free tier allows 50 searches per day, resetting at midnight UTC, and one scan consumes one search.</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 Every generated technique is probed - the probe list is assembled round-robin across techniques rather than truncated, so a per-scan cap can never silently drop an entire attack class such as the TLD variants.</w:t>
      </w:r>
    </w:p>
    <w:p>
      <w:pPr>
        <w:widowControl/>
        <w:spacing w:after="80"/>
      </w:pPr>
      <w:r>
        <w:rPr>
          <w:b/>
        </w:rPr>
        <w:t xml:space="preserve">Posture probing (what each lookalike can actually DO): </w:t>
      </w:r>
      <w:r>
        <w:t>A count of resolving lookalikes is a finding, not an instruction. What determines whether a lookalike is dangerous is its CAPABILITY, so each resolved domain is additionally profiled: MX records (can it send and receive email as your brand?), SPF policy, nameservers (is it parked or listed for sale at a domain broker?), and a single cautious page fetch recording the HTTP status, response size and the page's own title. From these the scanner assigns a risk band and a specific recommendation, and orders the list by capability rather than by resemblance.</w:t>
      </w:r>
    </w:p>
    <w:p>
      <w:pPr>
        <w:widowControl/>
        <w:spacing w:after="80"/>
      </w:pPr>
      <w:r>
        <w:rPr>
          <w:b/>
        </w:rPr>
        <w:t xml:space="preserve">The distinction that matters: </w:t>
      </w:r>
      <w:r>
        <w:t>A near-typo with working mail and NO website is the classic credential-phishing setup - the domain exists in order to send. A domain publishing a null MX record (RFC 7505) with an SPF policy of -all can neither send nor receive and is usually a defensive or speculative registration. Both resolve; only the first can phish your staff, brokers and clients today. Ranking them identically overstates one and understates the other.</w:t>
      </w:r>
    </w:p>
    <w:p>
      <w:pPr>
        <w:widowControl/>
        <w:spacing w:after="80"/>
      </w:pPr>
      <w:r>
        <w:rPr>
          <w:b/>
          <w:color w:val="B40000"/>
        </w:rPr>
        <w:t xml:space="preserve">WARNING: </w:t>
      </w:r>
      <w:r>
        <w:t>A similar name is not impersonation. A lookalike that is mail-capable AND serves a live, branded website is as often an unrelated business as an impersonator - phishield.io, for example, is PHIShield, a healthcare de-identification product (PHI = Protected Health Information), entirely unconnected to Phishield. The report therefore quotes each live site's own page title and frames these as VERIFY FIRST rather than recommending action. Confirm that a domain actually copies your branding or claims to be you before reporting it to a registrar; an abuse complaint against a legitimate business is both ineffective and reputationally damaging.</w:t>
      </w:r>
    </w:p>
    <w:p>
      <w:pPr>
        <w:widowControl/>
        <w:spacing w:after="80"/>
      </w:pPr>
      <w:r>
        <w:rPr>
          <w:b/>
          <w:color w:val="003399"/>
        </w:rPr>
        <w:t xml:space="preserve">NOTE: </w:t>
      </w:r>
      <w:r>
        <w:t>Detection is resolution-based: a permutation is reported only if it resolves in DNS. A domain that is registered but publishes no A record will not appear, even though it may still be quoted on a social-media profile or in an email signature. If a client reports seeing a lookalike that the scan does not list, check whether it resolves at all - a name can be circulated without ever being hosted.</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6.0 Reading a report: "not assessed" is not "clean"</w:t>
      </w:r>
    </w:p>
    <w:p>
      <w:pPr>
        <w:widowControl/>
        <w:spacing w:after="80"/>
      </w:pPr>
      <w:r>
        <w:t>Before any individual card, one distinction governs how every report in this manual should be read. A checker can end a scan in one of three states, and only two of them are verdicts:</w:t>
      </w:r>
    </w:p>
    <w:p>
      <w:pPr>
        <w:pStyle w:val="ListParagraph"/>
        <w:widowControl/>
        <w:spacing w:after="40"/>
      </w:pPr>
      <w:r>
        <w:t>ASSESSED, nothing found - the checker reached the target, looked, and found no issue. This is a genuine clean result and is scored as one.</w:t>
      </w:r>
    </w:p>
    <w:p>
      <w:pPr>
        <w:pStyle w:val="ListParagraph"/>
        <w:widowControl/>
        <w:spacing w:after="40"/>
      </w:pPr>
      <w:r>
        <w:t>ASSESSED, issue found - the checker looked and found something. Scored on the finding.</w:t>
      </w:r>
    </w:p>
    <w:p>
      <w:pPr>
        <w:pStyle w:val="ListParagraph"/>
        <w:widowControl/>
        <w:spacing w:after="40"/>
      </w:pPr>
      <w:r>
        <w:t>NOT ASSESSED - the checker could not look at all. A web application firewall refused every probe, an API key was absent or out of credit, or the host did not answer. No verdict is possible, so none is given.</w:t>
      </w:r>
    </w:p>
    <w:p>
      <w:pPr>
        <w:widowControl/>
        <w:spacing w:after="80"/>
      </w:pPr>
      <w:r>
        <w:t>A fourth case sits inside the third and is easy to miss. A check can be switched off deliberately by the operator, and it can be switched off FOR the operator by a fault elsewhere in the system. Those two look identical in the stored result and must not be graded the same way. In August 2026 a failing credit check on a credential provider caused the assessment console to disable that provider's tick box; the next seven scans ran with no credential search at all, and because the system recorded them as an operator's choice they were still certified as complete. The scanner now records WHY a check was skipped. An operator's own decision remains benign; a skip that some other failure imposed is graded as a failed check, so the scan stops presenting itself as a full assessment.</w:t>
      </w:r>
    </w:p>
    <w:p>
      <w:pPr>
        <w:widowControl/>
        <w:spacing w:after="80"/>
      </w:pPr>
      <w:r>
        <w:t>The same rule governs the attacker's-view kill chain. Each phase is built from counts - staff addresses in breach data, stolen credentials, infected devices - and a provider that never ran reports those counts as zero. Read naively, an estate nobody searched produces a green phase. Any phase whose verdict depends on evidence the scan could not gather is now shown as UNKNOWN in grey, never green, and the findings list states which source was not consulted. A phase already rated critical on other evidence keeps that rating: missing credential data cannot make a confirmed exposure less certain.</w:t>
      </w:r>
    </w:p>
    <w:p>
      <w:pPr>
        <w:widowControl/>
        <w:spacing w:after="80"/>
      </w:pPr>
      <w:r>
        <w:t>The third state is the one that matters commercially, because the raw data of a blocked check and a clean check are identical: both produce zero findings. A checker that cannot distinguish them will report a wall as an all-clear. Every card that could be blinded therefore now states its own status, and the report says "Not assessed" in place of a score, with the reason (blocked by a WAF or CDN, no API key, credit exhausted, host unreachable).</w:t>
      </w:r>
    </w:p>
    <w:p>
      <w:pPr>
        <w:widowControl/>
        <w:spacing w:after="80"/>
      </w:pPr>
      <w:r>
        <w:rPr>
          <w:b/>
          <w:color w:val="B40000"/>
        </w:rPr>
        <w:t xml:space="preserve">WARNING: </w:t>
      </w:r>
      <w:r>
        <w:t>An unassessed area is an open question, not a pass. It should be raised in the client conversation and, where the cause is fixable (a missing API key, an exhausted credit balance), the scan should be re-run before the report is relied upon for a placement decision.</w:t>
      </w:r>
    </w:p>
    <w:p>
      <w:pPr>
        <w:widowControl/>
        <w:spacing w:after="80"/>
      </w:pPr>
      <w:r>
        <w:t>Scoring follows the same rule. An unassessed checker is EXCLUDED from the composite and its weight is redistributed across the checkers that did return data, rather than being filled in with an assumed value. The practical consequence is that a heavily blocked scan tends to score WORSE, not better: the organisation no longer receives credit for checks that never ran. A score produced at reduced coverage is therefore not directly comparable with one produced at full coverage, and the coverage percentage shown alongside it should be quoted whenever the score is.</w:t>
      </w:r>
    </w:p>
    <w:p>
      <w:pPr>
        <w:widowControl/>
        <w:spacing w:after="80"/>
      </w:pPr>
      <w:r>
        <w:rPr>
          <w:b/>
          <w:color w:val="003399"/>
        </w:rPr>
        <w:t xml:space="preserve">NOTE: </w:t>
      </w:r>
      <w:r>
        <w:t>Partial coverage is normal and is not a fault of the target. Many well-defended organisations block automated probing precisely because they are well defended - the same WAF that protects them also limits what an external assessment can observe. The report distinguishes "we could not see" from "there is nothing to see" so that this is never read as a weakness where it is not one.</w:t>
      </w:r>
    </w:p>
    <w:p>
      <w:pPr>
        <w:widowControl/>
        <w:spacing w:after="80"/>
      </w:pPr>
      <w:r>
        <w:rPr>
          <w:b/>
        </w:rPr>
        <w:t>Refused is not the same as blinded</w:t>
      </w:r>
      <w:r/>
    </w:p>
    <w:p>
      <w:pPr>
        <w:widowControl/>
        <w:spacing w:after="80"/>
      </w:pPr>
      <w:r>
        <w:t>One case deserves separating from the rest, because it looks identical on the wire and means the opposite. Four checks ask only whether something is publicly retrievable: sensitive files such as .env or a database backup, an administrator login page, a remote-access gateway, and a dependency manifest. Every path they request is one a properly configured server ought to refuse. When such a server answers HTTP 403 to all of them, it has not blocked the assessment - it has ANSWERED it. The file is not publicly retrievable, which is precisely the question asked, and the result is a genuine clean one.</w:t>
      </w:r>
    </w:p>
    <w:p>
      <w:pPr>
        <w:widowControl/>
        <w:spacing w:after="80"/>
      </w:pPr>
      <w:r>
        <w:t>The scanner separates the two with a control request for the site's home page, a page nobody has reason to deny. If the home page answers normally while the sensitive paths are refused, the server was talking to us throughout and the refusals are deliberate access control: the check is recorded as assessed and clean, and the report says so in words. If the home page is refused as well, the target is genuinely walled off, and the check is recorded as not assessed as described above. Checks that ask what something IS rather than whether it is reachable - security headers, software versions, cookie flags, payment page handling - gain nothing from a 403 and are always treated as not assessed when refused.</w:t>
      </w:r>
    </w:p>
    <w:p>
      <w:pPr>
        <w:widowControl/>
        <w:spacing w:after="80"/>
      </w:pPr>
      <w:r>
        <w:rPr>
          <w:b/>
          <w:color w:val="003399"/>
        </w:rPr>
        <w:t xml:space="preserve">NOTE: </w:t>
      </w:r>
      <w:r>
        <w:t>This distinction also governs the WAF card. Because a wholly blinded check is evidence of a blocking layer, treating correct hardening as blindness previously caused the report to announce active blocking on sites that had no WAF at all - while simultaneously withholding credit for the hardening. Both readings are now correct: good configuration is credited, and a genuine absence of a WAF is still charged for.</w:t>
      </w:r>
    </w:p>
    <w:p>
      <w:pPr>
        <w:widowControl/>
        <w:spacing w:after="80"/>
      </w:pPr>
      <w:r>
        <w:rPr>
          <w:b/>
        </w:rPr>
        <w:t>Rate limiting is not a web application firewall</w:t>
      </w:r>
      <w:r/>
    </w:p>
    <w:p>
      <w:pPr>
        <w:widowControl/>
        <w:spacing w:after="80"/>
      </w:pPr>
      <w:r>
        <w:t>A related question comes up whenever a scan slows down: the target started refusing requests part-way through, so does it have a firewall? Usually not. Rate limiting is available from an ordinary web server (nginx and Apache both ship it), from the application framework, from shared-hosting defaults, and from any load balancer. It is a protection, but it is not evidence of a web application firewall specifically, and the report does not treat it as one.</w:t>
      </w:r>
    </w:p>
    <w:p>
      <w:pPr>
        <w:widowControl/>
        <w:spacing w:after="80"/>
      </w:pPr>
      <w:r>
        <w:t>The response code separates the two cases, and the scanner now distinguishes them. HTTP 429, Too Many Requests, is a deliberate policy declining to serve us and is recorded as such. HTTP 503, Service Unavailable, usually means the origin ran out of capacity - its worker pool was exhausted - and a busy assessment is itself a common cause. The second is a symptom, frequently one the scan provoked, so it reduces coverage and is reported honestly as reduced coverage, but it is never offered as evidence that a security control exists.</w:t>
      </w:r>
    </w:p>
    <w:p>
      <w:pPr>
        <w:widowControl/>
        <w:spacing w:after="80"/>
      </w:pPr>
      <w:r>
        <w:rPr>
          <w:b/>
          <w:color w:val="B40000"/>
        </w:rPr>
        <w:t xml:space="preserve">WARNING: </w:t>
      </w:r>
      <w:r>
        <w:t>Repeated scans of the same domain in quick succession can provoke this on smaller sites and will degrade the result. Where several assessments of one target are needed, space them out rather than running them back to back.</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