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https://phishield-scanner.onrender.com. This is the hosted version used by underwriters and brokers for day-to-day scanning. It is deployed on Render and is accessible from any internet-connected device.</w:t>
      </w:r>
    </w:p>
    <w:p>
      <w:pPr>
        <w:widowControl/>
        <w:spacing w:after="80"/>
      </w:pPr>
      <w:r>
        <w:rPr>
          <w:b/>
          <w:color w:val="003399"/>
        </w:rPr>
        <w:t xml:space="preserve">NOTE: </w:t>
      </w:r>
      <w:r>
        <w:t>The production instance may take 30-60 seconds to respond on the first request if it has been idle, because the Render free tier spins down inactive services. Subsequent requests will respond immediately.</w:t>
      </w:r>
    </w:p>
    <w:p>
      <w:pPr>
        <w:keepNext/>
        <w:widowControl/>
        <w:spacing w:after="80"/>
      </w:pPr>
      <w:r>
        <w:rPr>
          <w:b/>
          <w:color w:val="008000"/>
        </w:rPr>
        <w:t xml:space="preserve">TIP: </w:t>
      </w:r>
      <w:r>
        <w:t>Bookmark the production URL for quick access. If you experience slow loading, simply wait for the initial spin-up to complete and then refresh the page.</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header, x-sucuri-cache header, and body content.</w:t>
      </w:r>
    </w:p>
    <w:p>
      <w:pPr>
        <w:pStyle w:val="ListParagraph"/>
        <w:widowControl/>
        <w:spacing w:after="40"/>
      </w:pPr>
      <w:r>
        <w:t>F5 BIG-IP ASM -- Detected via proprietary headers and F5 session cookies.</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your public IP addresses. An exposed RDP service is rated as a critical finding because automated attack tools continuously scan the entire internet for open RDP, and compromised RDP credentials are bought and sold on criminal marketplaces.</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dnsbl.sorbs.net — SORBS listings often indicate the IP is on a dynamic/residential range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403: The Git repository metadata exists on the server. While blocked, its presence confirms a deployment practice that may expose source code if misconfigured.</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pPr>
        <w:widowControl/>
        <w:spacing w:after="80"/>
      </w:pPr>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pPr>
        <w:widowControl/>
        <w:spacing w:after="80"/>
      </w:pPr>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 broker should review whether the unknown include is legitimate or a stale configuration artefact.</w:t>
      </w:r>
    </w:p>
    <w:p>
      <w:pPr>
        <w:keepNext/>
        <w:spacing w:before="200" w:after="60"/>
      </w:pPr>
      <w:r>
        <w:rPr>
          <w:b/>
          <w:color w:val="003366"/>
          <w:sz w:val="26"/>
        </w:rPr>
        <w:t>4.6.16  CMS Plugin Surface — WordPress (S-10)</w:t>
      </w:r>
    </w:p>
    <w:p>
      <w:pPr>
        <w:widowControl/>
        <w:spacing w:after="80"/>
      </w:pPr>
      <w:r>
        <w:rPr>
          <w:b/>
        </w:rPr>
        <w:t xml:space="preserve">What it checks: </w:t>
      </w:r>
      <w:r>
        <w:t>WordPress-only. A cheap discriminator probes /wp-content/, /wp-login.php, and /wp-includes/; if none respond the checker reports 'skipped' (the site is not WordPress and the card does not render in the report). When WordPress is detected, the scanner enumerates 25 popular plugin slugs by HEADing /wp-content/plugins/&lt;slug&gt;/ and harvests version strings from /wp-content/plugins/&lt;slug&gt;/readme.txt via the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FAIR model under-estimates loss-given-breach for the 12% SC-vectored slice — see FIN-9 in the gap analysis for the conditional LGB Pareto refinement that addresses this.</w:t>
      </w:r>
    </w:p>
    <w:p>
      <w:pPr>
        <w:keepNext/>
        <w:spacing w:before="200" w:after="60"/>
      </w:pPr>
      <w:r>
        <w:rPr>
          <w:b/>
          <w:color w:val="003366"/>
          <w:sz w:val="26"/>
        </w:rPr>
        <w:t>4.6.18  Section Summary — Interpreting Exposure Results</w:t>
      </w:r>
    </w:p>
    <w:p>
      <w:pPr>
        <w:widowControl/>
        <w:spacing w:after="80"/>
      </w:pPr>
      <w:r>
        <w:t>The seventeen checkers in this section work together to provide a 360-degree view of a domain's exposure and reputation profile —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(residual) — notification costs, credit monitoring, legal fees, reputational damage, and customer churn. This is the residual after C2-C5 are allocated.</w:t>
      </w:r>
    </w:p>
    <w:p>
      <w:pPr>
        <w:pStyle w:val="ListParagraph"/>
        <w:widowControl/>
        <w:spacing w:after="40"/>
      </w:pPr>
      <w:r>
        <w:t>C2: Regulatory fines per jurisdiction — POPIA fines (up to R10 million), GDPR exposure (4% of global turnover, uncapped) if applicable, and PCI DSS fines if applicable. Jurisdiction-specific calculations based on the scan input toggles.</w:t>
      </w:r>
    </w:p>
    <w:p>
      <w:pPr>
        <w:pStyle w:val="ListParagraph"/>
        <w:widowControl/>
        <w:spacing w:after="40"/>
      </w:pPr>
      <w:r>
        <w:t>C3: Business interruption — revenue loss during recovery. Uses a SA-calibrated PERT distribution for recovery time: PERT(3, 25, 120) days, reflecting the Sophos SA 2025 finding that SA organisations take a median of 25 days to recover from ransomware.</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without breaching the Render free-tier memory limit.</w:t>
      </w:r>
    </w:p>
    <w:p>
      <w:pPr>
        <w:widowControl/>
        <w:spacing w:after="80"/>
      </w:pPr>
      <w:r>
        <w:t>Key PERT parameters include SA recovery time PERT(3, 25, 120)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return-period percentiles (P99 = 1-in-100 year, P99.5 = 1-in-200, P99.6 = 1-in-250).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1-in-100 event (P99) — the loss level expected to be exceeded once in 100 years (1% annual exceedance probability). Standard reinsurance / underwriting convention for cover sizing.</w:t>
      </w:r>
    </w:p>
    <w:p>
      <w:pPr>
        <w:pStyle w:val="ListParagraph"/>
        <w:widowControl/>
        <w:spacing w:after="40"/>
      </w:pPr>
      <w:r>
        <w:t>1-in-200 event (P99.5) — aligned with the FSCA SAM (Solvency Assessment and Management) regime's catastrophe scenario.</w:t>
      </w:r>
    </w:p>
    <w:p>
      <w:pPr>
        <w:pStyle w:val="ListParagraph"/>
        <w:widowControl/>
        <w:spacing w:after="40"/>
      </w:pPr>
      <w:r>
        <w:t>1-in-250 event (P99.6) — extreme tail view requested for catastrophe-cover discussions. GPD-fitted from the right tail of the simulation.</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0.65 = R6.5M; ECTA R1M x 0.65 = R0.65M; CPA 10% x R200M = R20M (no factor - percentage already scales); FSCA R100M x 0.65 = R65M; FIC R50M x 0.65 = R32.5M; JSE R7.5M x 0.65 = R4.875M. Total cat stack: approximately R129.5M. The same entity at R10M revenue (capacity factor 0.15) would face approximately R24M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from sub-industry rules and payment-form signals on the homepage; accountable institution from FS / Legal Services / Real Estate sub-industry mapping; healthcare sub-detail (medical_scheme / pharmacy / pharma / hospital_clinic) from domain and page-title keywords; GDPR and PCI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is inferred from consumer-facing sub-industry labels plus payment-form signals from the homepage probe.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has a 1% annual exceedance probability (P99 percentile of the loss distribution); 1-in-200 = 0.5% (P99.5); 1-in-250 = 0.4% (P99.6). These figures are surfaced as Loss Exposure Scenarios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