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2026-05-16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 </w:t>
            </w:r>
            <w:r>
              <w:rPr>
                <w:b/>
                <w:sz w:val="19"/>
              </w:rPr>
              <w:t>Now also load-bearing for the encrypted-export enrichment (5j/5k):</w:t>
            </w:r>
            <w:r>
              <w:rPr>
                <w:sz w:val="19"/>
              </w:rPr>
              <w:t xml:space="preserve"> the export pulls recency dates + IntelX leak-refs from the domain's last scan, but Render's free-tier disk is </w:t>
            </w:r>
            <w:r>
              <w:rPr>
                <w:b/>
                <w:sz w:val="19"/>
              </w:rPr>
              <w:t>ephemeral and wipes `scans.db` on every deploy</w:t>
            </w:r>
            <w:r>
              <w:rPr>
                <w:sz w:val="19"/>
              </w:rPr>
              <w:t xml:space="preserve"> — so a scan→deploy→export sequence silently drops the dates/leak-refs (export still returns credentials, just un-clustered). Persistent DB removes this. Interim: re-scan before exporting if a deploy has occurred.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</w:t>
      </w:r>
      <w:r>
        <w:rPr>
          <w:b/>
        </w:rPr>
        <w:t>Verified 2026-05-31 via `/authenticate/info` + IntelX docs:</w:t>
      </w:r>
    </w:p>
    <w:p>
      <w:r>
        <w:t xml:space="preserve">the free tier's </w:t>
      </w:r>
      <w:r>
        <w:rPr>
          <w:rFonts w:ascii="Consolas" w:hAnsi="Consolas"/>
          <w:sz w:val="18"/>
        </w:rPr>
        <w:t>/intelligent/search</w:t>
      </w:r>
      <w:r>
        <w:t xml:space="preserve"> cap is **</w:t>
      </w:r>
      <w:r>
        <w:rPr>
          <w:rFonts w:ascii="Consolas" w:hAnsi="Consolas"/>
          <w:sz w:val="18"/>
        </w:rPr>
        <w:t>CreditMax = 50</w:t>
      </w:r>
      <w:r>
        <w:t xml:space="preserve"> per DAY, reset</w:t>
      </w:r>
    </w:p>
    <w:p>
      <w:r>
        <w:t>at midnight UTC** (NOT ~500 — that was a wrong code comment), 1 credit/scan,</w:t>
      </w:r>
    </w:p>
    <w:p>
      <w:r>
        <w:rPr>
          <w:b/>
        </w:rPr>
        <w:t>max 3 concurrent searches</w:t>
      </w:r>
      <w:r>
        <w:t>.</w:t>
      </w:r>
    </w:p>
    <w:p>
      <w:r>
        <w:t xml:space="preserve">Planning implication: the cohort runs at </w:t>
      </w:r>
      <w:r>
        <w:rPr>
          <w:b/>
        </w:rPr>
        <w:t>~25-30 scans/day</w:t>
      </w:r>
      <w:r>
        <w:t xml:space="preserve"> (§3), which fits</w:t>
      </w:r>
    </w:p>
    <w:p>
      <w:r>
        <w:rPr>
          <w:i/>
        </w:rPr>
        <w:t>under</w:t>
      </w:r>
      <w:r>
        <w:t xml:space="preserve"> 50/day with modest headroom — so the free daily tier is **borderline-</w:t>
      </w:r>
    </w:p>
    <w:p>
      <w:r>
        <w:t>viable for the steady cohort rate**, NOT "10× too small" as first thought.</w:t>
      </w:r>
    </w:p>
    <w:p>
      <w:r>
        <w:t>BUT: zero burst headroom, the 3-concurrent cap throttles throughput, and any</w:t>
      </w:r>
    </w:p>
    <w:p>
      <w:r>
        <w:t>broker ad-hoc scans eat into the same 50. So a **paid replacement</w:t>
      </w:r>
    </w:p>
    <w:p>
      <w:r>
        <w:t>(Snusbase / LeakCheck Pro / SpyCloud) is still recommended** for safety +</w:t>
      </w:r>
    </w:p>
    <w:p>
      <w:r>
        <w:t>throughput + always-on use, but it is no longer an emergency blocker. Avoid</w:t>
      </w:r>
    </w:p>
    <w:p>
      <w:r>
        <w:t>burning credits on test scans (</w:t>
      </w:r>
      <w:r>
        <w:rPr>
          <w:rFonts w:ascii="Consolas" w:hAnsi="Consolas"/>
          <w:sz w:val="18"/>
        </w:rPr>
        <w:t>skip_intelx:true</w:t>
      </w:r>
      <w:r>
        <w:t>; the smoke test is already</w:t>
      </w:r>
    </w:p>
    <w:p>
      <w:r>
        <w:t>credit-free).</w:t>
      </w:r>
    </w:p>
    <w:p>
      <w:pPr>
        <w:pStyle w:val="ListBullet"/>
      </w:pPr>
      <w:r>
        <w:rPr>
          <w:b/>
        </w:rPr>
        <w:t>Action (before 2026-06-03 calibration test):</w:t>
      </w:r>
      <w:r>
        <w:t xml:space="preserve"> add </w:t>
      </w:r>
      <w:r>
        <w:rPr>
          <w:rFonts w:ascii="Consolas" w:hAnsi="Consolas"/>
          <w:sz w:val="18"/>
        </w:rPr>
        <w:t>INTELX_API_KEY</w:t>
      </w:r>
      <w:r>
        <w:t xml:space="preserve"> to</w:t>
      </w:r>
    </w:p>
    <w:p>
      <w:r>
        <w:t xml:space="preserve">  </w:t>
      </w:r>
      <w:r>
        <w:rPr>
          <w:b/>
        </w:rPr>
        <w:t>Render</w:t>
      </w:r>
      <w:r>
        <w:t xml:space="preserve"> (it's currently set locally but NOT on Render — that's why prod</w:t>
      </w:r>
    </w:p>
    <w:p>
      <w:r>
        <w:t xml:space="preserve">  has no IntelX/forum signal while local does). This makes the credential</w:t>
      </w:r>
    </w:p>
    <w:p>
      <w:r>
        <w:t xml:space="preserve">  correlation's signal-4 active on prod for Wednesday's supply-chain</w:t>
      </w:r>
    </w:p>
    <w:p>
      <w:r>
        <w:t xml:space="preserve">  calibration run.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Same reassigned-IP risk as the RDP/origin case.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5k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Fresh-dump content-fetch (credit-gated tier)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done 2026-06-02:</w:t>
            </w:r>
            <w:r>
              <w:rPr>
                <w:sz w:val="19"/>
              </w:rPr>
              <w:t xml:space="preserve"> the encrypted export now includes IntelX stealer-log postings as date-ordered </w:t>
            </w:r>
            <w:r>
              <w:rPr>
                <w:rFonts w:ascii="Consolas" w:hAnsi="Consolas"/>
                <w:sz w:val="19"/>
              </w:rPr>
              <w:t>leak_reference</w:t>
            </w:r>
            <w:r>
              <w:rPr>
                <w:sz w:val="19"/>
              </w:rPr>
              <w:t xml:space="preserve"> rows with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label (</w:t>
            </w:r>
            <w:r>
              <w:rPr>
                <w:rFonts w:ascii="Consolas" w:hAnsi="Consolas"/>
                <w:sz w:val="19"/>
              </w:rPr>
              <w:t>credential_export.py</w:t>
            </w:r>
            <w:r>
              <w:rPr>
                <w:sz w:val="19"/>
              </w:rPr>
              <w:t xml:space="preserve">; Manual §6.4). </w:t>
            </w:r>
            <w:r>
              <w:rPr>
                <w:b/>
                <w:sz w:val="19"/>
              </w:rPr>
              <w:t>Still open:</w:t>
            </w:r>
            <w:r>
              <w:rPr>
                <w:sz w:val="19"/>
              </w:rPr>
              <w:t xml:space="preserve"> the </w:t>
            </w:r>
            <w:r>
              <w:rPr>
                <w:b/>
                <w:sz w:val="19"/>
              </w:rPr>
              <w:t>content-fetch tier</w:t>
            </w:r>
            <w:r>
              <w:rPr>
                <w:sz w:val="19"/>
              </w:rPr>
              <w:t xml:space="preserve"> — on explicit client request, pull the named dump BODY (IntelX selector/view, costs credits) to confirm whether a real credential was exposed vs just a </w:t>
            </w:r>
            <w:r>
              <w:rPr>
                <w:rFonts w:ascii="Consolas" w:hAnsi="Consolas"/>
                <w:sz w:val="19"/>
              </w:rPr>
              <w:t>History/</w:t>
            </w:r>
            <w:r>
              <w:rPr>
                <w:sz w:val="19"/>
              </w:rPr>
              <w:t xml:space="preserve"> visit. The free listing classifies by path but cannot read the contents.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Confidence-gate the p(breach) / RSI input (scoring decision — NOT done)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Open,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(scoring-change rule). The export/dashboard now expose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model, but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does not yet use it: a recent LOW-confidence reference (aggregated index, browser-History visit) can still pull credential signals the same as a HIGH-confidence password capture. Decision to make: gate any p(breach)/RSI uplift on HIGH-confidence (or content-fetch-confirmed) evidence, so low-confidence freshness alone does not inflate the probability. Builds on the §6 "Credential-risk scoring calibration" ticket. </w:t>
            </w:r>
            <w:r>
              <w:rPr>
                <w:b/>
                <w:sz w:val="19"/>
              </w:rPr>
              <w:t>Cat model is unaffected — this is purely the p(breach) input.</w:t>
            </w:r>
            <w:r>
              <w:rPr>
                <w:sz w:val="19"/>
              </w:rPr>
              <w:t xml:space="preserve"> Until decided, the disclaimer + content-fetch prompt (5k) is the interim control.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  <w:r>
              <w:rPr>
                <w:sz w:val="19"/>
              </w:rPr>
              <w:t xml:space="preserve"> (ticket, NOT done)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Two tweaks to </w:t>
            </w:r>
            <w:r>
              <w:rPr>
                <w:rFonts w:ascii="Consolas" w:hAnsi="Consolas"/>
                <w:sz w:val="19"/>
              </w:rPr>
              <w:t>CredentialRiskClassifier</w:t>
            </w:r>
            <w:r>
              <w:rPr>
                <w:sz w:val="19"/>
              </w:rPr>
              <w:t xml:space="preserve">, both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(empirical anchors + sign-off, per the scoring-change rule): (1) the IntelX paste/dark-web deductions are </w:t>
            </w:r>
            <w:r>
              <w:rPr>
                <w:b/>
                <w:sz w:val="19"/>
              </w:rPr>
              <w:t>per-mention and uncapped</w:t>
            </w:r>
            <w:r>
              <w:rPr>
                <w:sz w:val="19"/>
              </w:rPr>
              <w:t xml:space="preserve"> (40 pastes → −120, floored at 0) — can out-deduct Hudson Rock's flat −50 in the raw 0-100 score even though HR sets the higher </w:t>
            </w:r>
            <w:r>
              <w:rPr>
                <w:i/>
                <w:sz w:val="19"/>
              </w:rPr>
              <w:t>level</w:t>
            </w:r>
            <w:r>
              <w:rPr>
                <w:sz w:val="19"/>
              </w:rPr>
              <w:t xml:space="preserve">; add a cap. (2) </w:t>
            </w:r>
            <w:r>
              <w:rPr>
                <w:b/>
                <w:sz w:val="19"/>
              </w:rPr>
              <w:t>Date-gate the HR CRITICAL</w:t>
            </w:r>
            <w:r>
              <w:rPr>
                <w:sz w:val="19"/>
              </w:rPr>
              <w:t xml:space="preserve"> so a </w:t>
            </w:r>
            <w:r>
              <w:rPr>
                <w:i/>
                <w:sz w:val="19"/>
              </w:rPr>
              <w:t>stale</w:t>
            </w:r>
            <w:r>
              <w:rPr>
                <w:sz w:val="19"/>
              </w:rPr>
              <w:t xml:space="preserve"> infostealer infection (old </w:t>
            </w:r>
            <w:r>
              <w:rPr>
                <w:rFonts w:ascii="Consolas" w:hAnsi="Consolas"/>
                <w:sz w:val="19"/>
              </w:rPr>
              <w:t>last_compromised</w:t>
            </w:r>
            <w:r>
              <w:rPr>
                <w:sz w:val="19"/>
              </w:rPr>
              <w:t xml:space="preserve">) doesn't auto-force CRITICAL — use the new </w:t>
            </w:r>
            <w:r>
              <w:rPr>
                <w:rFonts w:ascii="Consolas" w:hAnsi="Consolas"/>
                <w:sz w:val="19"/>
              </w:rPr>
              <w:t>days_since_compromise</w:t>
            </w:r>
            <w:r>
              <w:rPr>
                <w:sz w:val="19"/>
              </w:rPr>
              <w:t xml:space="preserve">. The Credential Exposure Correlation (reporting) already does this date-anchoring; this would align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with it.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